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1B6F2" w14:textId="09225E1C" w:rsidR="005370FC" w:rsidRPr="005370FC" w:rsidRDefault="005370FC" w:rsidP="004F6264">
      <w:pPr>
        <w:jc w:val="center"/>
        <w:rPr>
          <w:b/>
          <w:sz w:val="22"/>
          <w:szCs w:val="22"/>
        </w:rPr>
      </w:pPr>
      <w:r w:rsidRPr="005370FC">
        <w:rPr>
          <w:b/>
          <w:sz w:val="22"/>
          <w:szCs w:val="22"/>
        </w:rPr>
        <w:t xml:space="preserve">PLANNING COMMISSON HEARING – </w:t>
      </w:r>
      <w:r w:rsidR="00B24268">
        <w:rPr>
          <w:b/>
          <w:sz w:val="22"/>
          <w:szCs w:val="22"/>
        </w:rPr>
        <w:t>JULY 2, 201</w:t>
      </w:r>
      <w:r w:rsidR="006F3039">
        <w:rPr>
          <w:b/>
          <w:sz w:val="22"/>
          <w:szCs w:val="22"/>
        </w:rPr>
        <w:t>4</w:t>
      </w:r>
    </w:p>
    <w:p w14:paraId="032436BD" w14:textId="7A8729A8" w:rsidR="00AA2002" w:rsidRPr="005370FC" w:rsidRDefault="004F6264" w:rsidP="00AA2002">
      <w:pPr>
        <w:jc w:val="center"/>
        <w:rPr>
          <w:b/>
          <w:sz w:val="22"/>
          <w:szCs w:val="22"/>
        </w:rPr>
      </w:pPr>
      <w:r w:rsidRPr="005370FC">
        <w:rPr>
          <w:b/>
          <w:sz w:val="22"/>
          <w:szCs w:val="22"/>
        </w:rPr>
        <w:t xml:space="preserve">EXHIBIT </w:t>
      </w:r>
      <w:r w:rsidR="00285E42">
        <w:rPr>
          <w:b/>
          <w:sz w:val="22"/>
          <w:szCs w:val="22"/>
        </w:rPr>
        <w:t>A</w:t>
      </w:r>
      <w:r w:rsidR="005370FC">
        <w:rPr>
          <w:b/>
          <w:sz w:val="22"/>
          <w:szCs w:val="22"/>
        </w:rPr>
        <w:t xml:space="preserve"> </w:t>
      </w:r>
      <w:r w:rsidR="00B24268">
        <w:rPr>
          <w:b/>
          <w:sz w:val="22"/>
          <w:szCs w:val="22"/>
        </w:rPr>
        <w:t>–</w:t>
      </w:r>
      <w:r w:rsidR="005370FC">
        <w:rPr>
          <w:b/>
          <w:sz w:val="22"/>
          <w:szCs w:val="22"/>
        </w:rPr>
        <w:t xml:space="preserve"> </w:t>
      </w:r>
      <w:r w:rsidR="00B24268">
        <w:rPr>
          <w:b/>
          <w:sz w:val="22"/>
          <w:szCs w:val="22"/>
        </w:rPr>
        <w:t xml:space="preserve">REVISED </w:t>
      </w:r>
      <w:r w:rsidR="005370FC">
        <w:rPr>
          <w:b/>
          <w:sz w:val="22"/>
          <w:szCs w:val="22"/>
        </w:rPr>
        <w:t>FINDING</w:t>
      </w:r>
      <w:r w:rsidRPr="005370FC">
        <w:rPr>
          <w:b/>
          <w:sz w:val="22"/>
          <w:szCs w:val="22"/>
        </w:rPr>
        <w:t>S</w:t>
      </w:r>
    </w:p>
    <w:p w14:paraId="1F549574" w14:textId="77777777" w:rsidR="004F6264" w:rsidRPr="005370FC" w:rsidRDefault="004F6264" w:rsidP="00AA2002">
      <w:pPr>
        <w:jc w:val="center"/>
        <w:rPr>
          <w:rFonts w:cs="Arial"/>
          <w:b/>
          <w:sz w:val="22"/>
          <w:szCs w:val="22"/>
        </w:rPr>
      </w:pPr>
    </w:p>
    <w:p w14:paraId="0AF63DBE" w14:textId="0FDFCC3B" w:rsidR="005370FC" w:rsidRDefault="00C80547" w:rsidP="00AA2002">
      <w:pPr>
        <w:jc w:val="center"/>
        <w:rPr>
          <w:rFonts w:cs="Arial"/>
          <w:b/>
          <w:sz w:val="22"/>
          <w:szCs w:val="22"/>
        </w:rPr>
      </w:pPr>
      <w:r>
        <w:rPr>
          <w:rFonts w:cs="Arial"/>
          <w:b/>
          <w:sz w:val="22"/>
          <w:szCs w:val="22"/>
        </w:rPr>
        <w:t>LMR RUTHERFORD ESTATE</w:t>
      </w:r>
      <w:r w:rsidR="009C2373">
        <w:rPr>
          <w:rFonts w:cs="Arial"/>
          <w:b/>
          <w:sz w:val="22"/>
          <w:szCs w:val="22"/>
        </w:rPr>
        <w:t xml:space="preserve"> WINERY</w:t>
      </w:r>
    </w:p>
    <w:p w14:paraId="23AB47CA" w14:textId="0BB731B6" w:rsidR="00E14BE2" w:rsidRPr="004E5786" w:rsidRDefault="005370FC" w:rsidP="00AA2002">
      <w:pPr>
        <w:jc w:val="center"/>
        <w:rPr>
          <w:rFonts w:cs="Arial"/>
          <w:b/>
          <w:sz w:val="22"/>
          <w:szCs w:val="22"/>
        </w:rPr>
      </w:pPr>
      <w:r>
        <w:rPr>
          <w:rFonts w:cs="Arial"/>
          <w:b/>
          <w:sz w:val="22"/>
          <w:szCs w:val="22"/>
        </w:rPr>
        <w:t>USE PERMIT</w:t>
      </w:r>
      <w:r w:rsidR="00256632" w:rsidRPr="004E5786">
        <w:rPr>
          <w:rFonts w:cs="Arial"/>
          <w:b/>
          <w:sz w:val="22"/>
          <w:szCs w:val="22"/>
        </w:rPr>
        <w:t xml:space="preserve"> #P</w:t>
      </w:r>
      <w:r w:rsidR="00FB6666">
        <w:rPr>
          <w:rFonts w:cs="Arial"/>
          <w:b/>
          <w:sz w:val="22"/>
          <w:szCs w:val="22"/>
        </w:rPr>
        <w:t>1</w:t>
      </w:r>
      <w:r w:rsidR="009C2373">
        <w:rPr>
          <w:rFonts w:cs="Arial"/>
          <w:b/>
          <w:sz w:val="22"/>
          <w:szCs w:val="22"/>
        </w:rPr>
        <w:t>3</w:t>
      </w:r>
      <w:r w:rsidR="00256632" w:rsidRPr="004E5786">
        <w:rPr>
          <w:rFonts w:cs="Arial"/>
          <w:b/>
          <w:sz w:val="22"/>
          <w:szCs w:val="22"/>
        </w:rPr>
        <w:t>-00</w:t>
      </w:r>
      <w:r w:rsidR="00C80547">
        <w:rPr>
          <w:rFonts w:cs="Arial"/>
          <w:b/>
          <w:sz w:val="22"/>
          <w:szCs w:val="22"/>
        </w:rPr>
        <w:t xml:space="preserve">167 </w:t>
      </w:r>
      <w:r w:rsidR="009C2373">
        <w:rPr>
          <w:rFonts w:cs="Arial"/>
          <w:b/>
          <w:sz w:val="22"/>
          <w:szCs w:val="22"/>
        </w:rPr>
        <w:t xml:space="preserve">&amp; </w:t>
      </w:r>
      <w:r w:rsidR="009C2373">
        <w:rPr>
          <w:rFonts w:cs="Arial"/>
          <w:b/>
          <w:sz w:val="22"/>
          <w:szCs w:val="22"/>
        </w:rPr>
        <w:tab/>
        <w:t>VARIANCE #P1</w:t>
      </w:r>
      <w:r w:rsidR="00C80547">
        <w:rPr>
          <w:rFonts w:cs="Arial"/>
          <w:b/>
          <w:sz w:val="22"/>
          <w:szCs w:val="22"/>
        </w:rPr>
        <w:t>3</w:t>
      </w:r>
      <w:r w:rsidR="009C2373">
        <w:rPr>
          <w:rFonts w:cs="Arial"/>
          <w:b/>
          <w:sz w:val="22"/>
          <w:szCs w:val="22"/>
        </w:rPr>
        <w:t>-</w:t>
      </w:r>
      <w:r w:rsidR="00C80547">
        <w:rPr>
          <w:rFonts w:cs="Arial"/>
          <w:b/>
          <w:sz w:val="22"/>
          <w:szCs w:val="22"/>
        </w:rPr>
        <w:t>00185</w:t>
      </w:r>
    </w:p>
    <w:p w14:paraId="7CEDD8D6" w14:textId="04EEF40E" w:rsidR="00256632" w:rsidRPr="004E5786" w:rsidRDefault="00C80547" w:rsidP="00AA2002">
      <w:pPr>
        <w:jc w:val="center"/>
        <w:rPr>
          <w:b/>
          <w:sz w:val="22"/>
          <w:szCs w:val="22"/>
        </w:rPr>
      </w:pPr>
      <w:r>
        <w:rPr>
          <w:b/>
          <w:sz w:val="22"/>
          <w:szCs w:val="22"/>
        </w:rPr>
        <w:t>1790 ST.HELENA HIGHWAY SO., RUTHERFORD, CALIFORNIA</w:t>
      </w:r>
    </w:p>
    <w:p w14:paraId="4BA47C62" w14:textId="6C3E11C5" w:rsidR="00256632" w:rsidRPr="004E5786" w:rsidRDefault="00BC44B2" w:rsidP="00AA2002">
      <w:pPr>
        <w:jc w:val="center"/>
        <w:rPr>
          <w:b/>
          <w:sz w:val="22"/>
          <w:szCs w:val="22"/>
        </w:rPr>
      </w:pPr>
      <w:r w:rsidRPr="004E5786">
        <w:rPr>
          <w:b/>
          <w:sz w:val="22"/>
          <w:szCs w:val="22"/>
        </w:rPr>
        <w:t>A</w:t>
      </w:r>
      <w:r w:rsidR="005370FC">
        <w:rPr>
          <w:b/>
          <w:sz w:val="22"/>
          <w:szCs w:val="22"/>
        </w:rPr>
        <w:t>PN</w:t>
      </w:r>
      <w:r w:rsidR="004E5786">
        <w:rPr>
          <w:b/>
          <w:sz w:val="22"/>
          <w:szCs w:val="22"/>
        </w:rPr>
        <w:t xml:space="preserve"> </w:t>
      </w:r>
      <w:r w:rsidR="00C80547">
        <w:rPr>
          <w:b/>
          <w:sz w:val="22"/>
          <w:szCs w:val="22"/>
        </w:rPr>
        <w:t>030-100-016</w:t>
      </w:r>
    </w:p>
    <w:p w14:paraId="00449226" w14:textId="77777777" w:rsidR="00256632" w:rsidRPr="00B1574F" w:rsidRDefault="00256632" w:rsidP="00256632">
      <w:pPr>
        <w:rPr>
          <w:sz w:val="20"/>
          <w:szCs w:val="20"/>
        </w:rPr>
      </w:pPr>
    </w:p>
    <w:p w14:paraId="075AF8F5" w14:textId="77777777" w:rsidR="008D440C" w:rsidRDefault="008D440C" w:rsidP="005370FC">
      <w:pPr>
        <w:jc w:val="both"/>
        <w:rPr>
          <w:rFonts w:cs="Arial"/>
          <w:b/>
          <w:sz w:val="22"/>
          <w:szCs w:val="22"/>
          <w:u w:val="single"/>
        </w:rPr>
      </w:pPr>
    </w:p>
    <w:p w14:paraId="61A76769" w14:textId="77777777" w:rsidR="00AA2002" w:rsidRPr="005370FC" w:rsidRDefault="00AA2002" w:rsidP="005370FC">
      <w:pPr>
        <w:jc w:val="both"/>
        <w:rPr>
          <w:rFonts w:cs="Arial"/>
          <w:b/>
          <w:sz w:val="22"/>
          <w:szCs w:val="22"/>
        </w:rPr>
      </w:pPr>
      <w:r w:rsidRPr="003F0411">
        <w:rPr>
          <w:rFonts w:cs="Arial"/>
          <w:b/>
          <w:sz w:val="22"/>
          <w:szCs w:val="22"/>
          <w:u w:val="single"/>
        </w:rPr>
        <w:t>E</w:t>
      </w:r>
      <w:r w:rsidR="005370FC">
        <w:rPr>
          <w:rFonts w:cs="Arial"/>
          <w:b/>
          <w:sz w:val="22"/>
          <w:szCs w:val="22"/>
          <w:u w:val="single"/>
        </w:rPr>
        <w:t>NVIRONMENTAL DETERMINATION</w:t>
      </w:r>
      <w:r w:rsidR="005370FC">
        <w:rPr>
          <w:rFonts w:cs="Arial"/>
          <w:b/>
          <w:sz w:val="22"/>
          <w:szCs w:val="22"/>
        </w:rPr>
        <w:t>:</w:t>
      </w:r>
    </w:p>
    <w:p w14:paraId="6E371C68" w14:textId="77777777" w:rsidR="00BC44B2" w:rsidRPr="003F0411" w:rsidRDefault="00BC44B2" w:rsidP="005370FC">
      <w:pPr>
        <w:jc w:val="both"/>
        <w:rPr>
          <w:rFonts w:cs="Arial"/>
          <w:sz w:val="22"/>
          <w:szCs w:val="22"/>
        </w:rPr>
      </w:pPr>
    </w:p>
    <w:p w14:paraId="5349B445" w14:textId="77777777" w:rsidR="005370FC" w:rsidRPr="00E5497F" w:rsidRDefault="005370FC" w:rsidP="005370FC">
      <w:pPr>
        <w:jc w:val="both"/>
        <w:rPr>
          <w:sz w:val="22"/>
          <w:szCs w:val="22"/>
        </w:rPr>
      </w:pPr>
      <w:r w:rsidRPr="00E5497F">
        <w:rPr>
          <w:sz w:val="22"/>
          <w:szCs w:val="22"/>
        </w:rPr>
        <w:t xml:space="preserve">The </w:t>
      </w:r>
      <w:r>
        <w:rPr>
          <w:sz w:val="22"/>
          <w:szCs w:val="22"/>
        </w:rPr>
        <w:t xml:space="preserve">Planning Commission (Commission) has received and reviewed the </w:t>
      </w:r>
      <w:r w:rsidR="0004185E">
        <w:rPr>
          <w:sz w:val="22"/>
          <w:szCs w:val="22"/>
        </w:rPr>
        <w:t>proposed</w:t>
      </w:r>
      <w:r>
        <w:rPr>
          <w:sz w:val="22"/>
          <w:szCs w:val="22"/>
        </w:rPr>
        <w:t xml:space="preserve"> Negative Declaration pursuant to the provisions of the California Environmental Quality Act (CEQA) and of Napa County’s Local Procedures for Implementing CEQA, and find</w:t>
      </w:r>
      <w:r w:rsidR="00DE58FC">
        <w:rPr>
          <w:sz w:val="22"/>
          <w:szCs w:val="22"/>
        </w:rPr>
        <w:t>s t</w:t>
      </w:r>
      <w:r>
        <w:rPr>
          <w:sz w:val="22"/>
          <w:szCs w:val="22"/>
        </w:rPr>
        <w:t>hat:</w:t>
      </w:r>
    </w:p>
    <w:p w14:paraId="4D95A9E3" w14:textId="77777777" w:rsidR="005370FC" w:rsidRPr="00E5497F" w:rsidRDefault="005370FC" w:rsidP="005370FC">
      <w:pPr>
        <w:jc w:val="both"/>
        <w:rPr>
          <w:sz w:val="22"/>
          <w:szCs w:val="22"/>
        </w:rPr>
      </w:pPr>
    </w:p>
    <w:p w14:paraId="01A335BF" w14:textId="77777777" w:rsidR="005370FC" w:rsidRDefault="005370FC" w:rsidP="00E22A87">
      <w:pPr>
        <w:numPr>
          <w:ilvl w:val="0"/>
          <w:numId w:val="17"/>
        </w:numPr>
        <w:tabs>
          <w:tab w:val="clear" w:pos="720"/>
          <w:tab w:val="num" w:pos="360"/>
        </w:tabs>
        <w:ind w:left="360"/>
        <w:jc w:val="both"/>
        <w:rPr>
          <w:sz w:val="22"/>
          <w:szCs w:val="22"/>
        </w:rPr>
      </w:pPr>
      <w:r>
        <w:rPr>
          <w:sz w:val="22"/>
          <w:szCs w:val="22"/>
        </w:rPr>
        <w:t>T</w:t>
      </w:r>
      <w:r w:rsidRPr="00E5497F">
        <w:rPr>
          <w:sz w:val="22"/>
          <w:szCs w:val="22"/>
        </w:rPr>
        <w:t xml:space="preserve">he Planning Commission has read and considered the Negative Declaration prior to taking action on said </w:t>
      </w:r>
      <w:r w:rsidR="00DE58FC">
        <w:rPr>
          <w:sz w:val="22"/>
          <w:szCs w:val="22"/>
        </w:rPr>
        <w:t>N</w:t>
      </w:r>
      <w:r w:rsidRPr="00E5497F">
        <w:rPr>
          <w:sz w:val="22"/>
          <w:szCs w:val="22"/>
        </w:rPr>
        <w:t>egative Declaration and the proposed project.</w:t>
      </w:r>
    </w:p>
    <w:p w14:paraId="6D51906A" w14:textId="77777777" w:rsidR="005370FC" w:rsidRPr="00E5497F" w:rsidRDefault="005370FC" w:rsidP="00E22A87">
      <w:pPr>
        <w:ind w:left="360"/>
        <w:jc w:val="both"/>
        <w:rPr>
          <w:sz w:val="22"/>
          <w:szCs w:val="22"/>
        </w:rPr>
      </w:pPr>
    </w:p>
    <w:p w14:paraId="6D1E1CE8" w14:textId="77777777" w:rsidR="005370FC" w:rsidRDefault="005370FC" w:rsidP="00E22A87">
      <w:pPr>
        <w:numPr>
          <w:ilvl w:val="0"/>
          <w:numId w:val="17"/>
        </w:numPr>
        <w:tabs>
          <w:tab w:val="clear" w:pos="720"/>
          <w:tab w:val="num" w:pos="360"/>
        </w:tabs>
        <w:ind w:left="360"/>
        <w:jc w:val="both"/>
        <w:rPr>
          <w:sz w:val="22"/>
          <w:szCs w:val="22"/>
        </w:rPr>
      </w:pPr>
      <w:r w:rsidRPr="00E5497F">
        <w:rPr>
          <w:sz w:val="22"/>
          <w:szCs w:val="22"/>
        </w:rPr>
        <w:t xml:space="preserve">The Negative Declaration is based on independent judgment </w:t>
      </w:r>
      <w:r>
        <w:rPr>
          <w:sz w:val="22"/>
          <w:szCs w:val="22"/>
        </w:rPr>
        <w:t xml:space="preserve">exercised </w:t>
      </w:r>
      <w:r w:rsidRPr="00E5497F">
        <w:rPr>
          <w:sz w:val="22"/>
          <w:szCs w:val="22"/>
        </w:rPr>
        <w:t>by the Planning Commission.</w:t>
      </w:r>
    </w:p>
    <w:p w14:paraId="3747D2F6" w14:textId="77777777" w:rsidR="005370FC" w:rsidRPr="00E5497F" w:rsidRDefault="005370FC" w:rsidP="00E22A87">
      <w:pPr>
        <w:jc w:val="both"/>
        <w:rPr>
          <w:sz w:val="22"/>
          <w:szCs w:val="22"/>
        </w:rPr>
      </w:pPr>
    </w:p>
    <w:p w14:paraId="597509BF" w14:textId="77777777" w:rsidR="005370FC" w:rsidRDefault="005370FC" w:rsidP="00E22A87">
      <w:pPr>
        <w:numPr>
          <w:ilvl w:val="0"/>
          <w:numId w:val="17"/>
        </w:numPr>
        <w:tabs>
          <w:tab w:val="clear" w:pos="720"/>
          <w:tab w:val="num" w:pos="360"/>
        </w:tabs>
        <w:ind w:left="360"/>
        <w:jc w:val="both"/>
        <w:rPr>
          <w:sz w:val="22"/>
          <w:szCs w:val="22"/>
        </w:rPr>
      </w:pPr>
      <w:r>
        <w:rPr>
          <w:sz w:val="22"/>
          <w:szCs w:val="22"/>
        </w:rPr>
        <w:t>T</w:t>
      </w:r>
      <w:r w:rsidRPr="00E5497F">
        <w:rPr>
          <w:sz w:val="22"/>
          <w:szCs w:val="22"/>
        </w:rPr>
        <w:t>he Negative Declaration was prepared and considered in accordance with the requirements of the California Environmental Quality Act</w:t>
      </w:r>
      <w:r>
        <w:rPr>
          <w:sz w:val="22"/>
          <w:szCs w:val="22"/>
        </w:rPr>
        <w:t xml:space="preserve"> (CEQA)</w:t>
      </w:r>
      <w:r w:rsidRPr="00E5497F">
        <w:rPr>
          <w:sz w:val="22"/>
          <w:szCs w:val="22"/>
        </w:rPr>
        <w:t>.</w:t>
      </w:r>
    </w:p>
    <w:p w14:paraId="7A03D12E" w14:textId="77777777" w:rsidR="005370FC" w:rsidRPr="00E5497F" w:rsidRDefault="005370FC" w:rsidP="00E22A87">
      <w:pPr>
        <w:jc w:val="both"/>
        <w:rPr>
          <w:sz w:val="22"/>
          <w:szCs w:val="22"/>
        </w:rPr>
      </w:pPr>
    </w:p>
    <w:p w14:paraId="7F7CC805" w14:textId="77777777" w:rsidR="005370FC" w:rsidRDefault="005370FC" w:rsidP="00E22A87">
      <w:pPr>
        <w:numPr>
          <w:ilvl w:val="0"/>
          <w:numId w:val="17"/>
        </w:numPr>
        <w:tabs>
          <w:tab w:val="clear" w:pos="720"/>
          <w:tab w:val="num" w:pos="360"/>
        </w:tabs>
        <w:ind w:left="360"/>
        <w:jc w:val="both"/>
        <w:rPr>
          <w:sz w:val="22"/>
          <w:szCs w:val="22"/>
        </w:rPr>
      </w:pPr>
      <w:r>
        <w:rPr>
          <w:sz w:val="22"/>
          <w:szCs w:val="22"/>
        </w:rPr>
        <w:t>T</w:t>
      </w:r>
      <w:r w:rsidRPr="00E5497F">
        <w:rPr>
          <w:sz w:val="22"/>
          <w:szCs w:val="22"/>
        </w:rPr>
        <w:t xml:space="preserve">he Secretary of the </w:t>
      </w:r>
      <w:r>
        <w:rPr>
          <w:sz w:val="22"/>
          <w:szCs w:val="22"/>
        </w:rPr>
        <w:t>C</w:t>
      </w:r>
      <w:r w:rsidRPr="00E5497F">
        <w:rPr>
          <w:sz w:val="22"/>
          <w:szCs w:val="22"/>
        </w:rPr>
        <w:t xml:space="preserve">ommission is the custodian of the records of the proceedings on which this decision is based. The records are located at the Napa County </w:t>
      </w:r>
      <w:r w:rsidR="00623271">
        <w:rPr>
          <w:sz w:val="22"/>
          <w:szCs w:val="22"/>
        </w:rPr>
        <w:t>Planning, Building, and Environmental Services</w:t>
      </w:r>
      <w:r w:rsidRPr="00E5497F">
        <w:rPr>
          <w:sz w:val="22"/>
          <w:szCs w:val="22"/>
        </w:rPr>
        <w:t xml:space="preserve"> Department, 1195 Third Street, Room 210, Napa, California.</w:t>
      </w:r>
    </w:p>
    <w:p w14:paraId="711260D3" w14:textId="77777777" w:rsidR="005370FC" w:rsidRPr="00E5497F" w:rsidRDefault="005370FC" w:rsidP="00E22A87">
      <w:pPr>
        <w:jc w:val="both"/>
        <w:rPr>
          <w:sz w:val="22"/>
          <w:szCs w:val="22"/>
        </w:rPr>
      </w:pPr>
    </w:p>
    <w:p w14:paraId="691965FA" w14:textId="77777777" w:rsidR="005370FC" w:rsidRDefault="005370FC" w:rsidP="00E22A87">
      <w:pPr>
        <w:numPr>
          <w:ilvl w:val="0"/>
          <w:numId w:val="17"/>
        </w:numPr>
        <w:tabs>
          <w:tab w:val="clear" w:pos="720"/>
          <w:tab w:val="num" w:pos="360"/>
        </w:tabs>
        <w:ind w:left="360"/>
        <w:jc w:val="both"/>
        <w:rPr>
          <w:sz w:val="22"/>
          <w:szCs w:val="22"/>
        </w:rPr>
      </w:pPr>
      <w:r>
        <w:rPr>
          <w:sz w:val="22"/>
          <w:szCs w:val="22"/>
        </w:rPr>
        <w:t>T</w:t>
      </w:r>
      <w:r w:rsidRPr="00E5497F">
        <w:rPr>
          <w:sz w:val="22"/>
          <w:szCs w:val="22"/>
        </w:rPr>
        <w:t>here is no substantial evidence in the record as a whole, that the project will have a signif</w:t>
      </w:r>
      <w:r>
        <w:rPr>
          <w:sz w:val="22"/>
          <w:szCs w:val="22"/>
        </w:rPr>
        <w:t>icant effect on the environment.</w:t>
      </w:r>
    </w:p>
    <w:p w14:paraId="0E6A143F" w14:textId="77777777" w:rsidR="005370FC" w:rsidRPr="00E5497F" w:rsidRDefault="005370FC" w:rsidP="00E22A87">
      <w:pPr>
        <w:jc w:val="both"/>
        <w:rPr>
          <w:sz w:val="22"/>
          <w:szCs w:val="22"/>
        </w:rPr>
      </w:pPr>
    </w:p>
    <w:p w14:paraId="169761FF" w14:textId="77777777" w:rsidR="00C3440A" w:rsidRPr="00623271" w:rsidRDefault="005370FC" w:rsidP="00623271">
      <w:pPr>
        <w:numPr>
          <w:ilvl w:val="0"/>
          <w:numId w:val="17"/>
        </w:numPr>
        <w:tabs>
          <w:tab w:val="clear" w:pos="720"/>
          <w:tab w:val="num" w:pos="360"/>
        </w:tabs>
        <w:ind w:left="360"/>
        <w:jc w:val="both"/>
        <w:rPr>
          <w:rFonts w:cs="Arial"/>
          <w:sz w:val="22"/>
          <w:szCs w:val="22"/>
        </w:rPr>
      </w:pPr>
      <w:r w:rsidRPr="00623271">
        <w:rPr>
          <w:sz w:val="22"/>
          <w:szCs w:val="22"/>
        </w:rPr>
        <w:t>There is no evidence</w:t>
      </w:r>
      <w:r w:rsidR="00623271" w:rsidRPr="00623271">
        <w:rPr>
          <w:sz w:val="22"/>
          <w:szCs w:val="22"/>
        </w:rPr>
        <w:t>,</w:t>
      </w:r>
      <w:r w:rsidRPr="00623271">
        <w:rPr>
          <w:sz w:val="22"/>
          <w:szCs w:val="22"/>
        </w:rPr>
        <w:t xml:space="preserve"> in considering the record as a </w:t>
      </w:r>
      <w:r w:rsidR="00C3103B" w:rsidRPr="00623271">
        <w:rPr>
          <w:sz w:val="22"/>
          <w:szCs w:val="22"/>
        </w:rPr>
        <w:t>whole that</w:t>
      </w:r>
      <w:r w:rsidRPr="00623271">
        <w:rPr>
          <w:sz w:val="22"/>
          <w:szCs w:val="22"/>
        </w:rPr>
        <w:t xml:space="preserve"> the proposed project will have a potential adverse effect on wildlife resources or habitat upon which the wildlife depends</w:t>
      </w:r>
      <w:r w:rsidR="00623271">
        <w:rPr>
          <w:sz w:val="22"/>
          <w:szCs w:val="22"/>
        </w:rPr>
        <w:t>.</w:t>
      </w:r>
    </w:p>
    <w:p w14:paraId="48973473" w14:textId="77777777" w:rsidR="0050183D" w:rsidRPr="003F0411" w:rsidRDefault="0050183D" w:rsidP="0050183D">
      <w:pPr>
        <w:jc w:val="both"/>
        <w:rPr>
          <w:rFonts w:cs="Arial"/>
          <w:b/>
          <w:sz w:val="22"/>
          <w:szCs w:val="22"/>
          <w:u w:val="single"/>
        </w:rPr>
      </w:pPr>
    </w:p>
    <w:p w14:paraId="6BC3FE2F" w14:textId="77777777" w:rsidR="0050183D" w:rsidRPr="005370FC" w:rsidRDefault="0050183D" w:rsidP="0050183D">
      <w:pPr>
        <w:jc w:val="both"/>
        <w:rPr>
          <w:rFonts w:cs="Arial"/>
          <w:b/>
          <w:sz w:val="22"/>
          <w:szCs w:val="22"/>
        </w:rPr>
      </w:pPr>
      <w:r w:rsidRPr="003F0411">
        <w:rPr>
          <w:rFonts w:cs="Arial"/>
          <w:b/>
          <w:sz w:val="22"/>
          <w:szCs w:val="22"/>
          <w:u w:val="single"/>
        </w:rPr>
        <w:t>V</w:t>
      </w:r>
      <w:r>
        <w:rPr>
          <w:rFonts w:cs="Arial"/>
          <w:b/>
          <w:sz w:val="22"/>
          <w:szCs w:val="22"/>
          <w:u w:val="single"/>
        </w:rPr>
        <w:t>ARIANCE REQUIRED FINDINGS</w:t>
      </w:r>
      <w:r>
        <w:rPr>
          <w:rFonts w:cs="Arial"/>
          <w:b/>
          <w:sz w:val="22"/>
          <w:szCs w:val="22"/>
        </w:rPr>
        <w:t>:</w:t>
      </w:r>
    </w:p>
    <w:p w14:paraId="58FB4C2E" w14:textId="77777777" w:rsidR="0050183D" w:rsidRPr="003F0411" w:rsidRDefault="0050183D" w:rsidP="0050183D">
      <w:pPr>
        <w:jc w:val="both"/>
        <w:rPr>
          <w:rFonts w:cs="Arial"/>
          <w:b/>
          <w:sz w:val="22"/>
          <w:szCs w:val="22"/>
          <w:u w:val="single"/>
        </w:rPr>
      </w:pPr>
    </w:p>
    <w:p w14:paraId="3BA66B56" w14:textId="77777777" w:rsidR="0050183D" w:rsidRPr="00E22A87" w:rsidRDefault="0050183D" w:rsidP="0050183D">
      <w:pPr>
        <w:jc w:val="both"/>
        <w:rPr>
          <w:sz w:val="22"/>
          <w:szCs w:val="22"/>
        </w:rPr>
      </w:pPr>
      <w:r w:rsidRPr="00E22A87">
        <w:rPr>
          <w:rFonts w:cs="Arial"/>
          <w:sz w:val="22"/>
          <w:szCs w:val="22"/>
        </w:rPr>
        <w:t>T</w:t>
      </w:r>
      <w:r w:rsidRPr="00E22A87">
        <w:rPr>
          <w:sz w:val="22"/>
          <w:szCs w:val="22"/>
        </w:rPr>
        <w:t>he Commission has reviewed the above-described variance request and, in accordance with the requirements of Napa County Code Section 18.128.060, makes the following findings</w:t>
      </w:r>
      <w:r>
        <w:rPr>
          <w:sz w:val="22"/>
          <w:szCs w:val="22"/>
        </w:rPr>
        <w:t>.  That:</w:t>
      </w:r>
    </w:p>
    <w:p w14:paraId="7A7087EC" w14:textId="77777777" w:rsidR="0050183D" w:rsidRPr="00E22A87" w:rsidRDefault="0050183D" w:rsidP="0050183D">
      <w:pPr>
        <w:jc w:val="both"/>
        <w:rPr>
          <w:sz w:val="22"/>
          <w:szCs w:val="22"/>
        </w:rPr>
      </w:pPr>
    </w:p>
    <w:p w14:paraId="4A1B6617" w14:textId="77777777" w:rsidR="0050183D" w:rsidRPr="00E22A87" w:rsidRDefault="0050183D" w:rsidP="0050183D">
      <w:pPr>
        <w:numPr>
          <w:ilvl w:val="0"/>
          <w:numId w:val="17"/>
        </w:numPr>
        <w:tabs>
          <w:tab w:val="clear" w:pos="720"/>
          <w:tab w:val="num" w:pos="360"/>
        </w:tabs>
        <w:ind w:left="360"/>
        <w:jc w:val="both"/>
        <w:rPr>
          <w:rFonts w:cs="Arial"/>
          <w:sz w:val="22"/>
          <w:szCs w:val="22"/>
        </w:rPr>
      </w:pPr>
      <w:r w:rsidRPr="00E22A87">
        <w:rPr>
          <w:sz w:val="22"/>
          <w:szCs w:val="22"/>
        </w:rPr>
        <w:t xml:space="preserve">The </w:t>
      </w:r>
      <w:r>
        <w:rPr>
          <w:sz w:val="22"/>
          <w:szCs w:val="22"/>
        </w:rPr>
        <w:t xml:space="preserve">procedural </w:t>
      </w:r>
      <w:r w:rsidRPr="00E22A87">
        <w:rPr>
          <w:sz w:val="22"/>
          <w:szCs w:val="22"/>
        </w:rPr>
        <w:t xml:space="preserve">requirements set forth in Chapter 18.128 of the </w:t>
      </w:r>
      <w:r>
        <w:rPr>
          <w:sz w:val="22"/>
          <w:szCs w:val="22"/>
        </w:rPr>
        <w:t>Napa County Code have been met.</w:t>
      </w:r>
    </w:p>
    <w:p w14:paraId="182855DA" w14:textId="77777777" w:rsidR="0050183D" w:rsidRPr="00E22A87" w:rsidRDefault="0050183D" w:rsidP="0050183D">
      <w:pPr>
        <w:ind w:left="360"/>
        <w:jc w:val="both"/>
        <w:rPr>
          <w:rFonts w:cs="Arial"/>
          <w:sz w:val="22"/>
          <w:szCs w:val="22"/>
        </w:rPr>
      </w:pPr>
    </w:p>
    <w:p w14:paraId="5E724956" w14:textId="7BF9916D" w:rsidR="0050183D" w:rsidRPr="00E22A87" w:rsidRDefault="0050183D" w:rsidP="0050183D">
      <w:pPr>
        <w:ind w:left="360"/>
        <w:jc w:val="both"/>
        <w:rPr>
          <w:rFonts w:cs="Arial"/>
          <w:sz w:val="22"/>
          <w:szCs w:val="22"/>
        </w:rPr>
      </w:pPr>
      <w:r w:rsidRPr="00E22A87">
        <w:rPr>
          <w:sz w:val="22"/>
          <w:szCs w:val="22"/>
          <w:u w:val="single"/>
        </w:rPr>
        <w:t>Analysis</w:t>
      </w:r>
      <w:r>
        <w:rPr>
          <w:sz w:val="22"/>
          <w:szCs w:val="22"/>
        </w:rPr>
        <w:t xml:space="preserve">:  </w:t>
      </w:r>
      <w:r w:rsidRPr="00E22A87">
        <w:rPr>
          <w:sz w:val="22"/>
          <w:szCs w:val="22"/>
        </w:rPr>
        <w:t xml:space="preserve">The variance application has been filed and notice and public hearing requirements have been met. The hearing notice was posted on </w:t>
      </w:r>
      <w:r w:rsidR="00915557">
        <w:rPr>
          <w:sz w:val="22"/>
          <w:szCs w:val="22"/>
        </w:rPr>
        <w:t>May</w:t>
      </w:r>
      <w:r w:rsidR="002A36B8">
        <w:rPr>
          <w:sz w:val="22"/>
          <w:szCs w:val="22"/>
        </w:rPr>
        <w:t xml:space="preserve"> </w:t>
      </w:r>
      <w:r w:rsidR="00915557">
        <w:rPr>
          <w:sz w:val="22"/>
          <w:szCs w:val="22"/>
        </w:rPr>
        <w:t>3, 2014</w:t>
      </w:r>
      <w:r w:rsidRPr="00E22A87">
        <w:rPr>
          <w:sz w:val="22"/>
          <w:szCs w:val="22"/>
        </w:rPr>
        <w:t xml:space="preserve"> and copies were forwarded to </w:t>
      </w:r>
      <w:r>
        <w:rPr>
          <w:sz w:val="22"/>
          <w:szCs w:val="22"/>
        </w:rPr>
        <w:t>property owners within 300 feet of the subject parcel and all other interested parties</w:t>
      </w:r>
      <w:r w:rsidRPr="00E22A87">
        <w:rPr>
          <w:sz w:val="22"/>
          <w:szCs w:val="22"/>
        </w:rPr>
        <w:t>.</w:t>
      </w:r>
      <w:r>
        <w:rPr>
          <w:sz w:val="22"/>
          <w:szCs w:val="22"/>
        </w:rPr>
        <w:t xml:space="preserve"> The CEQA public comment period ran from </w:t>
      </w:r>
      <w:r w:rsidR="00915557">
        <w:rPr>
          <w:sz w:val="22"/>
          <w:szCs w:val="22"/>
        </w:rPr>
        <w:t>May 3, 2014</w:t>
      </w:r>
      <w:r>
        <w:rPr>
          <w:sz w:val="22"/>
          <w:szCs w:val="22"/>
        </w:rPr>
        <w:t xml:space="preserve"> to </w:t>
      </w:r>
      <w:r w:rsidR="00915557">
        <w:rPr>
          <w:sz w:val="22"/>
          <w:szCs w:val="22"/>
        </w:rPr>
        <w:t>June 2</w:t>
      </w:r>
      <w:r>
        <w:rPr>
          <w:sz w:val="22"/>
          <w:szCs w:val="22"/>
        </w:rPr>
        <w:t>, 201</w:t>
      </w:r>
      <w:r w:rsidR="009C2373">
        <w:rPr>
          <w:sz w:val="22"/>
          <w:szCs w:val="22"/>
        </w:rPr>
        <w:t>4</w:t>
      </w:r>
      <w:r>
        <w:rPr>
          <w:sz w:val="22"/>
          <w:szCs w:val="22"/>
        </w:rPr>
        <w:t>.</w:t>
      </w:r>
    </w:p>
    <w:p w14:paraId="61744A79" w14:textId="77777777" w:rsidR="0050183D" w:rsidRPr="00E22A87" w:rsidRDefault="0050183D" w:rsidP="0050183D">
      <w:pPr>
        <w:tabs>
          <w:tab w:val="num" w:pos="360"/>
        </w:tabs>
        <w:ind w:left="360" w:hanging="360"/>
        <w:jc w:val="both"/>
        <w:rPr>
          <w:rFonts w:cs="Arial"/>
          <w:sz w:val="22"/>
          <w:szCs w:val="22"/>
        </w:rPr>
      </w:pPr>
    </w:p>
    <w:p w14:paraId="4A4D8F1B" w14:textId="77777777" w:rsidR="008D440C" w:rsidRDefault="008D440C">
      <w:pPr>
        <w:rPr>
          <w:sz w:val="22"/>
          <w:szCs w:val="22"/>
        </w:rPr>
      </w:pPr>
      <w:r>
        <w:rPr>
          <w:sz w:val="22"/>
          <w:szCs w:val="22"/>
        </w:rPr>
        <w:br w:type="page"/>
      </w:r>
    </w:p>
    <w:p w14:paraId="4559E2D1" w14:textId="480D8900" w:rsidR="0050183D" w:rsidRPr="00E22A87" w:rsidRDefault="0050183D" w:rsidP="0050183D">
      <w:pPr>
        <w:ind w:left="360" w:hanging="360"/>
        <w:jc w:val="both"/>
        <w:rPr>
          <w:sz w:val="22"/>
          <w:szCs w:val="22"/>
        </w:rPr>
      </w:pPr>
      <w:r>
        <w:rPr>
          <w:sz w:val="22"/>
          <w:szCs w:val="22"/>
        </w:rPr>
        <w:lastRenderedPageBreak/>
        <w:t>8.</w:t>
      </w:r>
      <w:r w:rsidRPr="00E22A87">
        <w:rPr>
          <w:sz w:val="22"/>
          <w:szCs w:val="22"/>
        </w:rPr>
        <w:tab/>
      </w:r>
      <w:bookmarkStart w:id="0" w:name="_GoBack"/>
      <w:bookmarkEnd w:id="0"/>
      <w:r w:rsidRPr="00E22A87">
        <w:rPr>
          <w:sz w:val="22"/>
          <w:szCs w:val="22"/>
        </w:rPr>
        <w:t>Special circumstances exist applicable to the Property, including size, shape, topography, location or surroundings, because of which strict application of the zoning district regulations deprives such property of privileges enjoyed by other property in the vicinity and under identical zoning classification.</w:t>
      </w:r>
    </w:p>
    <w:p w14:paraId="245F441E" w14:textId="77777777" w:rsidR="0050183D" w:rsidRPr="00106EE2" w:rsidRDefault="0050183D" w:rsidP="0050183D">
      <w:pPr>
        <w:ind w:left="360" w:hanging="360"/>
        <w:jc w:val="both"/>
        <w:rPr>
          <w:sz w:val="22"/>
          <w:szCs w:val="22"/>
        </w:rPr>
      </w:pPr>
    </w:p>
    <w:p w14:paraId="3975D922" w14:textId="08017E9B" w:rsidR="00661C1D" w:rsidRDefault="0050183D" w:rsidP="00106EE2">
      <w:pPr>
        <w:ind w:left="360"/>
        <w:jc w:val="both"/>
        <w:rPr>
          <w:rFonts w:cs="Arial"/>
          <w:sz w:val="22"/>
          <w:szCs w:val="22"/>
        </w:rPr>
      </w:pPr>
      <w:r w:rsidRPr="00106EE2">
        <w:rPr>
          <w:sz w:val="22"/>
          <w:szCs w:val="22"/>
          <w:u w:val="single"/>
        </w:rPr>
        <w:t>Analysis</w:t>
      </w:r>
      <w:r w:rsidR="00106EE2">
        <w:rPr>
          <w:sz w:val="22"/>
          <w:szCs w:val="22"/>
        </w:rPr>
        <w:t>:</w:t>
      </w:r>
      <w:r w:rsidR="00106EE2" w:rsidRPr="00106EE2">
        <w:rPr>
          <w:rFonts w:cs="Arial"/>
          <w:sz w:val="22"/>
          <w:szCs w:val="22"/>
        </w:rPr>
        <w:t xml:space="preserve"> </w:t>
      </w:r>
      <w:r w:rsidR="00C715E7">
        <w:rPr>
          <w:rFonts w:cs="Arial"/>
          <w:sz w:val="22"/>
          <w:szCs w:val="22"/>
        </w:rPr>
        <w:t xml:space="preserve">The majority of the property is located </w:t>
      </w:r>
      <w:r w:rsidR="008407B1">
        <w:rPr>
          <w:rFonts w:cs="Arial"/>
          <w:sz w:val="22"/>
          <w:szCs w:val="22"/>
        </w:rPr>
        <w:t xml:space="preserve">the Flood Hazard Zone of </w:t>
      </w:r>
      <w:r w:rsidR="00C01CD2">
        <w:rPr>
          <w:rFonts w:cs="Arial"/>
          <w:sz w:val="22"/>
          <w:szCs w:val="22"/>
        </w:rPr>
        <w:t xml:space="preserve">Bale Slough and </w:t>
      </w:r>
      <w:r w:rsidR="008407B1">
        <w:rPr>
          <w:rFonts w:cs="Arial"/>
          <w:sz w:val="22"/>
          <w:szCs w:val="22"/>
        </w:rPr>
        <w:t xml:space="preserve">Napa River. Bale Slough flows along the northeasterly boundary of the property. </w:t>
      </w:r>
      <w:r w:rsidR="00C715E7">
        <w:rPr>
          <w:rFonts w:cs="Arial"/>
          <w:sz w:val="22"/>
          <w:szCs w:val="22"/>
        </w:rPr>
        <w:t xml:space="preserve">There are County and Federal regulations in place which </w:t>
      </w:r>
      <w:r w:rsidR="008407B1">
        <w:rPr>
          <w:rFonts w:cs="Arial"/>
          <w:sz w:val="22"/>
          <w:szCs w:val="22"/>
        </w:rPr>
        <w:t>would not restrict the construction of the winery in a flood hazard area, but the construction regulations would require the elevation of the building pad or require a</w:t>
      </w:r>
      <w:r w:rsidR="009A3B9B">
        <w:rPr>
          <w:rFonts w:cs="Arial"/>
          <w:sz w:val="22"/>
          <w:szCs w:val="22"/>
        </w:rPr>
        <w:t xml:space="preserve"> </w:t>
      </w:r>
      <w:proofErr w:type="spellStart"/>
      <w:r w:rsidR="009A3B9B">
        <w:rPr>
          <w:rFonts w:cs="Arial"/>
          <w:sz w:val="22"/>
          <w:szCs w:val="22"/>
        </w:rPr>
        <w:t>specialially</w:t>
      </w:r>
      <w:proofErr w:type="spellEnd"/>
      <w:r w:rsidR="009A3B9B">
        <w:rPr>
          <w:rFonts w:cs="Arial"/>
          <w:sz w:val="22"/>
          <w:szCs w:val="22"/>
        </w:rPr>
        <w:t xml:space="preserve"> </w:t>
      </w:r>
      <w:r w:rsidR="008407B1">
        <w:rPr>
          <w:rFonts w:cs="Arial"/>
          <w:sz w:val="22"/>
          <w:szCs w:val="22"/>
        </w:rPr>
        <w:t>engineer</w:t>
      </w:r>
      <w:r w:rsidR="009A3B9B">
        <w:rPr>
          <w:rFonts w:cs="Arial"/>
          <w:sz w:val="22"/>
          <w:szCs w:val="22"/>
        </w:rPr>
        <w:t>ed</w:t>
      </w:r>
      <w:r w:rsidR="00A34FA1">
        <w:rPr>
          <w:rFonts w:cs="Arial"/>
          <w:sz w:val="22"/>
          <w:szCs w:val="22"/>
        </w:rPr>
        <w:t xml:space="preserve"> building design</w:t>
      </w:r>
      <w:r w:rsidR="00C01CD2">
        <w:rPr>
          <w:rFonts w:cs="Arial"/>
          <w:sz w:val="22"/>
          <w:szCs w:val="22"/>
        </w:rPr>
        <w:t xml:space="preserve"> for a water-</w:t>
      </w:r>
      <w:proofErr w:type="spellStart"/>
      <w:r w:rsidR="00C01CD2">
        <w:rPr>
          <w:rFonts w:cs="Arial"/>
          <w:sz w:val="22"/>
          <w:szCs w:val="22"/>
        </w:rPr>
        <w:t>thight</w:t>
      </w:r>
      <w:proofErr w:type="spellEnd"/>
      <w:r w:rsidR="00C01CD2">
        <w:rPr>
          <w:rFonts w:cs="Arial"/>
          <w:sz w:val="22"/>
          <w:szCs w:val="22"/>
        </w:rPr>
        <w:t xml:space="preserve"> building below the base flood level</w:t>
      </w:r>
      <w:r w:rsidR="00A34FA1">
        <w:rPr>
          <w:rFonts w:cs="Arial"/>
          <w:sz w:val="22"/>
          <w:szCs w:val="22"/>
        </w:rPr>
        <w:t>. This would not preclude the development of a winery on this por</w:t>
      </w:r>
      <w:r w:rsidR="00C01CD2">
        <w:rPr>
          <w:rFonts w:cs="Arial"/>
          <w:sz w:val="22"/>
          <w:szCs w:val="22"/>
        </w:rPr>
        <w:t xml:space="preserve">tion of the property, but would </w:t>
      </w:r>
      <w:proofErr w:type="spellStart"/>
      <w:r w:rsidR="00C01CD2">
        <w:rPr>
          <w:rFonts w:cs="Arial"/>
          <w:sz w:val="22"/>
          <w:szCs w:val="22"/>
        </w:rPr>
        <w:t>required</w:t>
      </w:r>
      <w:proofErr w:type="spellEnd"/>
      <w:r w:rsidR="00C01CD2">
        <w:rPr>
          <w:rFonts w:cs="Arial"/>
          <w:sz w:val="22"/>
          <w:szCs w:val="22"/>
        </w:rPr>
        <w:t xml:space="preserve"> alteration of the land with the on-haul of fill </w:t>
      </w:r>
      <w:r w:rsidR="009C4CCF">
        <w:rPr>
          <w:rFonts w:cs="Arial"/>
          <w:sz w:val="22"/>
          <w:szCs w:val="22"/>
        </w:rPr>
        <w:t>and significant grading</w:t>
      </w:r>
      <w:r w:rsidR="00C01CD2">
        <w:rPr>
          <w:rFonts w:cs="Arial"/>
          <w:sz w:val="22"/>
          <w:szCs w:val="22"/>
        </w:rPr>
        <w:t>, further disturbing the vineyards existing on the property</w:t>
      </w:r>
      <w:r w:rsidR="009C4CCF">
        <w:rPr>
          <w:rFonts w:cs="Arial"/>
          <w:sz w:val="22"/>
          <w:szCs w:val="22"/>
        </w:rPr>
        <w:t>.</w:t>
      </w:r>
    </w:p>
    <w:p w14:paraId="1E13CD90" w14:textId="77777777" w:rsidR="00661C1D" w:rsidRDefault="00661C1D" w:rsidP="00106EE2">
      <w:pPr>
        <w:ind w:left="360"/>
        <w:jc w:val="both"/>
        <w:rPr>
          <w:rFonts w:cs="Arial"/>
          <w:sz w:val="22"/>
          <w:szCs w:val="22"/>
        </w:rPr>
      </w:pPr>
    </w:p>
    <w:p w14:paraId="57364139" w14:textId="486A2155" w:rsidR="00BF63BC" w:rsidRDefault="009636D1" w:rsidP="00106EE2">
      <w:pPr>
        <w:ind w:left="360"/>
        <w:jc w:val="both"/>
        <w:rPr>
          <w:rFonts w:cs="Arial"/>
          <w:sz w:val="22"/>
          <w:szCs w:val="22"/>
        </w:rPr>
      </w:pPr>
      <w:r>
        <w:rPr>
          <w:rFonts w:cs="Arial"/>
          <w:sz w:val="22"/>
          <w:szCs w:val="22"/>
        </w:rPr>
        <w:t>Near Bale Slough</w:t>
      </w:r>
      <w:r w:rsidR="00BF63BC">
        <w:rPr>
          <w:rFonts w:cs="Arial"/>
          <w:sz w:val="22"/>
          <w:szCs w:val="22"/>
        </w:rPr>
        <w:t xml:space="preserve"> flowing on the northeasterly side of the property, there is an environmentally sensitive area, which was </w:t>
      </w:r>
      <w:proofErr w:type="spellStart"/>
      <w:r w:rsidR="00BF63BC">
        <w:rPr>
          <w:rFonts w:cs="Arial"/>
          <w:sz w:val="22"/>
          <w:szCs w:val="22"/>
        </w:rPr>
        <w:t>surficially</w:t>
      </w:r>
      <w:proofErr w:type="spellEnd"/>
      <w:r w:rsidR="00BF63BC">
        <w:rPr>
          <w:rFonts w:cs="Arial"/>
          <w:sz w:val="22"/>
          <w:szCs w:val="22"/>
        </w:rPr>
        <w:t xml:space="preserve"> surveyed</w:t>
      </w:r>
      <w:r w:rsidR="00C01CD2">
        <w:rPr>
          <w:rFonts w:cs="Arial"/>
          <w:sz w:val="22"/>
          <w:szCs w:val="22"/>
        </w:rPr>
        <w:t xml:space="preserve"> with no materials found. Further, avoidance of Bale Slough riparian area is important to future proposed improvements to the stream. </w:t>
      </w:r>
      <w:r w:rsidR="00BF63BC">
        <w:rPr>
          <w:rFonts w:cs="Arial"/>
          <w:sz w:val="22"/>
          <w:szCs w:val="22"/>
        </w:rPr>
        <w:t>Avoiding development in this area would further reduce the developable area of the property</w:t>
      </w:r>
      <w:r w:rsidR="00C01CD2">
        <w:rPr>
          <w:rFonts w:cs="Arial"/>
          <w:sz w:val="22"/>
          <w:szCs w:val="22"/>
        </w:rPr>
        <w:t xml:space="preserve"> for structures</w:t>
      </w:r>
      <w:r w:rsidR="00BF63BC">
        <w:rPr>
          <w:rFonts w:cs="Arial"/>
          <w:sz w:val="22"/>
          <w:szCs w:val="22"/>
        </w:rPr>
        <w:t xml:space="preserve">. </w:t>
      </w:r>
    </w:p>
    <w:p w14:paraId="265D9DA3" w14:textId="77777777" w:rsidR="00BF63BC" w:rsidRDefault="00BF63BC" w:rsidP="00106EE2">
      <w:pPr>
        <w:ind w:left="360"/>
        <w:jc w:val="both"/>
        <w:rPr>
          <w:rFonts w:cs="Arial"/>
          <w:sz w:val="22"/>
          <w:szCs w:val="22"/>
        </w:rPr>
      </w:pPr>
    </w:p>
    <w:p w14:paraId="13CD3649" w14:textId="03EC5163" w:rsidR="0060496A" w:rsidRDefault="00BF63BC" w:rsidP="00106EE2">
      <w:pPr>
        <w:ind w:left="360"/>
        <w:jc w:val="both"/>
        <w:rPr>
          <w:rFonts w:cs="Arial"/>
          <w:sz w:val="22"/>
          <w:szCs w:val="22"/>
        </w:rPr>
      </w:pPr>
      <w:r>
        <w:rPr>
          <w:rFonts w:cs="Arial"/>
          <w:sz w:val="22"/>
          <w:szCs w:val="22"/>
        </w:rPr>
        <w:t xml:space="preserve">The property is currently developed as a commercial working farm and orchard, along the southerly side of the property and planted in vineyard. </w:t>
      </w:r>
      <w:r w:rsidR="0060496A">
        <w:rPr>
          <w:rFonts w:cs="Arial"/>
          <w:sz w:val="22"/>
          <w:szCs w:val="22"/>
        </w:rPr>
        <w:t xml:space="preserve"> The applicant indicates that the best and worst soils have been identified, and the proposed office and storage building, also within the 600 foot setback, will be located within the existing </w:t>
      </w:r>
      <w:r w:rsidR="00710781">
        <w:rPr>
          <w:rFonts w:cs="Arial"/>
          <w:sz w:val="22"/>
          <w:szCs w:val="22"/>
        </w:rPr>
        <w:t xml:space="preserve">residential </w:t>
      </w:r>
      <w:r w:rsidR="0060496A">
        <w:rPr>
          <w:rFonts w:cs="Arial"/>
          <w:sz w:val="22"/>
          <w:szCs w:val="22"/>
        </w:rPr>
        <w:t xml:space="preserve">farming compound area where the soils are not suitable for farming, </w:t>
      </w:r>
      <w:r w:rsidR="00710781">
        <w:rPr>
          <w:rFonts w:cs="Arial"/>
          <w:sz w:val="22"/>
          <w:szCs w:val="22"/>
        </w:rPr>
        <w:t xml:space="preserve">will be located </w:t>
      </w:r>
      <w:r w:rsidR="0060496A">
        <w:rPr>
          <w:rFonts w:cs="Arial"/>
          <w:sz w:val="22"/>
          <w:szCs w:val="22"/>
        </w:rPr>
        <w:t xml:space="preserve">outside the Flood Zone, and </w:t>
      </w:r>
      <w:r w:rsidR="00710781">
        <w:rPr>
          <w:rFonts w:cs="Arial"/>
          <w:sz w:val="22"/>
          <w:szCs w:val="22"/>
        </w:rPr>
        <w:t xml:space="preserve">will be </w:t>
      </w:r>
      <w:r w:rsidR="0060496A">
        <w:rPr>
          <w:rFonts w:cs="Arial"/>
          <w:sz w:val="22"/>
          <w:szCs w:val="22"/>
        </w:rPr>
        <w:t>lo</w:t>
      </w:r>
      <w:r w:rsidR="00C01CD2">
        <w:rPr>
          <w:rFonts w:cs="Arial"/>
          <w:sz w:val="22"/>
          <w:szCs w:val="22"/>
        </w:rPr>
        <w:t>cated on land already disturbed by the homestead development.</w:t>
      </w:r>
      <w:r w:rsidR="0060496A">
        <w:rPr>
          <w:rFonts w:cs="Arial"/>
          <w:sz w:val="22"/>
          <w:szCs w:val="22"/>
        </w:rPr>
        <w:t xml:space="preserve"> </w:t>
      </w:r>
    </w:p>
    <w:p w14:paraId="56393469" w14:textId="77777777" w:rsidR="0060496A" w:rsidRDefault="0060496A" w:rsidP="00106EE2">
      <w:pPr>
        <w:ind w:left="360"/>
        <w:jc w:val="both"/>
        <w:rPr>
          <w:rFonts w:cs="Arial"/>
          <w:sz w:val="22"/>
          <w:szCs w:val="22"/>
        </w:rPr>
      </w:pPr>
    </w:p>
    <w:p w14:paraId="6F50AF93" w14:textId="1940DC47" w:rsidR="0060496A" w:rsidRDefault="0060496A" w:rsidP="00106EE2">
      <w:pPr>
        <w:ind w:left="360"/>
        <w:jc w:val="both"/>
        <w:rPr>
          <w:rFonts w:cs="Arial"/>
          <w:sz w:val="22"/>
          <w:szCs w:val="22"/>
        </w:rPr>
      </w:pPr>
      <w:r>
        <w:rPr>
          <w:rFonts w:cs="Arial"/>
          <w:sz w:val="22"/>
          <w:szCs w:val="22"/>
        </w:rPr>
        <w:t xml:space="preserve">The proposed winery will also be located on </w:t>
      </w:r>
      <w:r w:rsidR="00710781" w:rsidRPr="00710781">
        <w:rPr>
          <w:rFonts w:cs="Arial"/>
          <w:sz w:val="22"/>
          <w:szCs w:val="22"/>
        </w:rPr>
        <w:t xml:space="preserve">soils </w:t>
      </w:r>
      <w:r w:rsidR="00710781">
        <w:rPr>
          <w:rFonts w:cs="Arial"/>
          <w:sz w:val="22"/>
          <w:szCs w:val="22"/>
        </w:rPr>
        <w:t>previously disturbed by the hom</w:t>
      </w:r>
      <w:r w:rsidR="008D440C">
        <w:rPr>
          <w:rFonts w:cs="Arial"/>
          <w:sz w:val="22"/>
          <w:szCs w:val="22"/>
        </w:rPr>
        <w:t>e</w:t>
      </w:r>
      <w:r w:rsidR="00710781">
        <w:rPr>
          <w:rFonts w:cs="Arial"/>
          <w:sz w:val="22"/>
          <w:szCs w:val="22"/>
        </w:rPr>
        <w:t xml:space="preserve">stead residence (removed in 2013) of the parcel involved in a lot line adjustment creating the resultant </w:t>
      </w:r>
      <w:proofErr w:type="gramStart"/>
      <w:r w:rsidR="00710781">
        <w:rPr>
          <w:rFonts w:cs="Arial"/>
          <w:sz w:val="22"/>
          <w:szCs w:val="22"/>
        </w:rPr>
        <w:t>parcel</w:t>
      </w:r>
      <w:r>
        <w:rPr>
          <w:rFonts w:cs="Arial"/>
          <w:sz w:val="22"/>
          <w:szCs w:val="22"/>
        </w:rPr>
        <w:t>,</w:t>
      </w:r>
      <w:proofErr w:type="gramEnd"/>
      <w:r>
        <w:rPr>
          <w:rFonts w:cs="Arial"/>
          <w:sz w:val="22"/>
          <w:szCs w:val="22"/>
        </w:rPr>
        <w:t xml:space="preserve"> and the construction of the winery will not result in the </w:t>
      </w:r>
      <w:r w:rsidR="00C01CD2">
        <w:rPr>
          <w:rFonts w:cs="Arial"/>
          <w:sz w:val="22"/>
          <w:szCs w:val="22"/>
        </w:rPr>
        <w:t xml:space="preserve">significant </w:t>
      </w:r>
      <w:r>
        <w:rPr>
          <w:rFonts w:cs="Arial"/>
          <w:sz w:val="22"/>
          <w:szCs w:val="22"/>
        </w:rPr>
        <w:t>removal of vines.</w:t>
      </w:r>
    </w:p>
    <w:p w14:paraId="448308E0" w14:textId="77777777" w:rsidR="0060496A" w:rsidRDefault="0060496A" w:rsidP="00106EE2">
      <w:pPr>
        <w:ind w:left="360"/>
        <w:jc w:val="both"/>
        <w:rPr>
          <w:rFonts w:cs="Arial"/>
          <w:sz w:val="22"/>
          <w:szCs w:val="22"/>
        </w:rPr>
      </w:pPr>
    </w:p>
    <w:p w14:paraId="6287D40A" w14:textId="7FB694B8" w:rsidR="0050183D" w:rsidRPr="00106EE2" w:rsidRDefault="003A3F52" w:rsidP="00106EE2">
      <w:pPr>
        <w:ind w:left="360"/>
        <w:jc w:val="both"/>
        <w:rPr>
          <w:rFonts w:cs="Arial"/>
          <w:sz w:val="22"/>
          <w:szCs w:val="22"/>
        </w:rPr>
      </w:pPr>
      <w:r>
        <w:rPr>
          <w:rFonts w:cs="Arial"/>
          <w:sz w:val="22"/>
          <w:szCs w:val="22"/>
        </w:rPr>
        <w:t xml:space="preserve">Granting of this variance would </w:t>
      </w:r>
      <w:r w:rsidR="0060496A">
        <w:rPr>
          <w:rFonts w:cs="Arial"/>
          <w:sz w:val="22"/>
          <w:szCs w:val="22"/>
        </w:rPr>
        <w:t>result in the development of this winery and accessory buildings within the area of the propert</w:t>
      </w:r>
      <w:r w:rsidR="001D1F47">
        <w:rPr>
          <w:rFonts w:cs="Arial"/>
          <w:sz w:val="22"/>
          <w:szCs w:val="22"/>
        </w:rPr>
        <w:t>ies</w:t>
      </w:r>
      <w:r w:rsidR="0060496A">
        <w:rPr>
          <w:rFonts w:cs="Arial"/>
          <w:sz w:val="22"/>
          <w:szCs w:val="22"/>
        </w:rPr>
        <w:t xml:space="preserve"> that ha</w:t>
      </w:r>
      <w:r w:rsidR="00FE6418">
        <w:rPr>
          <w:rFonts w:cs="Arial"/>
          <w:sz w:val="22"/>
          <w:szCs w:val="22"/>
        </w:rPr>
        <w:t>ve</w:t>
      </w:r>
      <w:r w:rsidR="0060496A">
        <w:rPr>
          <w:rFonts w:cs="Arial"/>
          <w:sz w:val="22"/>
          <w:szCs w:val="22"/>
        </w:rPr>
        <w:t xml:space="preserve"> historically been the developed </w:t>
      </w:r>
      <w:r w:rsidR="001D1F47">
        <w:rPr>
          <w:rFonts w:cs="Arial"/>
          <w:sz w:val="22"/>
          <w:szCs w:val="22"/>
        </w:rPr>
        <w:t xml:space="preserve">residential </w:t>
      </w:r>
      <w:r w:rsidR="0060496A">
        <w:rPr>
          <w:rFonts w:cs="Arial"/>
          <w:sz w:val="22"/>
          <w:szCs w:val="22"/>
        </w:rPr>
        <w:t>area</w:t>
      </w:r>
      <w:r w:rsidR="00FE6418">
        <w:rPr>
          <w:rFonts w:cs="Arial"/>
          <w:sz w:val="22"/>
          <w:szCs w:val="22"/>
        </w:rPr>
        <w:t>s;</w:t>
      </w:r>
      <w:r w:rsidR="001D1F47">
        <w:rPr>
          <w:rFonts w:cs="Arial"/>
          <w:sz w:val="22"/>
          <w:szCs w:val="22"/>
        </w:rPr>
        <w:t xml:space="preserve"> would </w:t>
      </w:r>
      <w:r w:rsidR="0060496A">
        <w:rPr>
          <w:rFonts w:cs="Arial"/>
          <w:sz w:val="22"/>
          <w:szCs w:val="22"/>
        </w:rPr>
        <w:t>keep the project within a small, consolidated portion</w:t>
      </w:r>
      <w:r w:rsidR="001D1F47">
        <w:rPr>
          <w:rFonts w:cs="Arial"/>
          <w:sz w:val="22"/>
          <w:szCs w:val="22"/>
        </w:rPr>
        <w:t xml:space="preserve"> </w:t>
      </w:r>
      <w:r w:rsidR="00FE6418">
        <w:rPr>
          <w:rFonts w:cs="Arial"/>
          <w:sz w:val="22"/>
          <w:szCs w:val="22"/>
        </w:rPr>
        <w:t>of the property; and would</w:t>
      </w:r>
      <w:r w:rsidR="0060496A">
        <w:rPr>
          <w:rFonts w:cs="Arial"/>
          <w:sz w:val="22"/>
          <w:szCs w:val="22"/>
        </w:rPr>
        <w:t xml:space="preserve"> </w:t>
      </w:r>
      <w:r>
        <w:rPr>
          <w:rFonts w:cs="Arial"/>
          <w:sz w:val="22"/>
          <w:szCs w:val="22"/>
        </w:rPr>
        <w:t xml:space="preserve">avoid dispersing </w:t>
      </w:r>
      <w:r w:rsidR="00DB33E6">
        <w:rPr>
          <w:rFonts w:cs="Arial"/>
          <w:sz w:val="22"/>
          <w:szCs w:val="22"/>
        </w:rPr>
        <w:t xml:space="preserve">buildings and </w:t>
      </w:r>
      <w:r>
        <w:rPr>
          <w:rFonts w:cs="Arial"/>
          <w:sz w:val="22"/>
          <w:szCs w:val="22"/>
        </w:rPr>
        <w:t>accessory uses throughout the visual landscape.</w:t>
      </w:r>
    </w:p>
    <w:p w14:paraId="0FDE7D78" w14:textId="77777777" w:rsidR="0050183D" w:rsidRPr="00106EE2" w:rsidRDefault="0050183D" w:rsidP="0050183D">
      <w:pPr>
        <w:ind w:left="360" w:hanging="360"/>
        <w:jc w:val="both"/>
        <w:rPr>
          <w:rFonts w:cs="Arial"/>
          <w:sz w:val="22"/>
          <w:szCs w:val="22"/>
        </w:rPr>
      </w:pPr>
    </w:p>
    <w:p w14:paraId="65802568" w14:textId="77777777" w:rsidR="0050183D" w:rsidRPr="00D72876" w:rsidRDefault="0050183D" w:rsidP="0050183D">
      <w:pPr>
        <w:ind w:left="360" w:hanging="360"/>
        <w:jc w:val="both"/>
        <w:rPr>
          <w:sz w:val="22"/>
          <w:szCs w:val="22"/>
        </w:rPr>
      </w:pPr>
      <w:r w:rsidRPr="00106EE2">
        <w:rPr>
          <w:sz w:val="22"/>
          <w:szCs w:val="22"/>
        </w:rPr>
        <w:t>9.</w:t>
      </w:r>
      <w:r w:rsidRPr="00106EE2">
        <w:rPr>
          <w:sz w:val="22"/>
          <w:szCs w:val="22"/>
        </w:rPr>
        <w:tab/>
        <w:t>Grant of the variance is necessary for the preservation</w:t>
      </w:r>
      <w:r w:rsidRPr="00D72876">
        <w:rPr>
          <w:sz w:val="22"/>
          <w:szCs w:val="22"/>
        </w:rPr>
        <w:t xml:space="preserve"> and enjoyment of substantial property rights.</w:t>
      </w:r>
    </w:p>
    <w:p w14:paraId="0027E532" w14:textId="77777777" w:rsidR="0050183D" w:rsidRPr="00D72876" w:rsidRDefault="0050183D" w:rsidP="0050183D">
      <w:pPr>
        <w:jc w:val="both"/>
        <w:rPr>
          <w:sz w:val="22"/>
          <w:szCs w:val="22"/>
        </w:rPr>
      </w:pPr>
    </w:p>
    <w:p w14:paraId="771DB8E9" w14:textId="572571BF" w:rsidR="00A63000" w:rsidRDefault="0050183D" w:rsidP="0050183D">
      <w:pPr>
        <w:ind w:left="360"/>
        <w:jc w:val="both"/>
        <w:rPr>
          <w:sz w:val="22"/>
          <w:szCs w:val="22"/>
        </w:rPr>
      </w:pPr>
      <w:r w:rsidRPr="00F21249">
        <w:rPr>
          <w:sz w:val="22"/>
          <w:szCs w:val="22"/>
          <w:u w:val="single"/>
        </w:rPr>
        <w:t>Analysis</w:t>
      </w:r>
      <w:r w:rsidRPr="00F21249">
        <w:rPr>
          <w:sz w:val="22"/>
          <w:szCs w:val="22"/>
        </w:rPr>
        <w:t>:</w:t>
      </w:r>
      <w:r w:rsidRPr="00F21249">
        <w:rPr>
          <w:i/>
          <w:sz w:val="22"/>
          <w:szCs w:val="22"/>
        </w:rPr>
        <w:t xml:space="preserve"> </w:t>
      </w:r>
      <w:r w:rsidRPr="000C6255">
        <w:rPr>
          <w:sz w:val="22"/>
          <w:szCs w:val="22"/>
          <w:bdr w:val="none" w:sz="0" w:space="0" w:color="auto" w:frame="1"/>
        </w:rPr>
        <w:t xml:space="preserve">The </w:t>
      </w:r>
      <w:r w:rsidR="00950BB7">
        <w:rPr>
          <w:sz w:val="22"/>
          <w:szCs w:val="22"/>
          <w:bdr w:val="none" w:sz="0" w:space="0" w:color="auto" w:frame="1"/>
        </w:rPr>
        <w:t xml:space="preserve">property is located within the </w:t>
      </w:r>
      <w:r w:rsidRPr="000C6255">
        <w:rPr>
          <w:sz w:val="22"/>
          <w:szCs w:val="22"/>
          <w:bdr w:val="none" w:sz="0" w:space="0" w:color="auto" w:frame="1"/>
        </w:rPr>
        <w:t xml:space="preserve">Agricultural </w:t>
      </w:r>
      <w:r w:rsidR="00106EE2" w:rsidRPr="000C6255">
        <w:rPr>
          <w:sz w:val="22"/>
          <w:szCs w:val="22"/>
          <w:bdr w:val="none" w:sz="0" w:space="0" w:color="auto" w:frame="1"/>
        </w:rPr>
        <w:t xml:space="preserve">Preserve </w:t>
      </w:r>
      <w:r w:rsidRPr="000C6255">
        <w:rPr>
          <w:sz w:val="22"/>
          <w:szCs w:val="22"/>
          <w:bdr w:val="none" w:sz="0" w:space="0" w:color="auto" w:frame="1"/>
        </w:rPr>
        <w:t>(A</w:t>
      </w:r>
      <w:r w:rsidR="00106EE2" w:rsidRPr="000C6255">
        <w:rPr>
          <w:sz w:val="22"/>
          <w:szCs w:val="22"/>
          <w:bdr w:val="none" w:sz="0" w:space="0" w:color="auto" w:frame="1"/>
        </w:rPr>
        <w:t>P</w:t>
      </w:r>
      <w:r w:rsidRPr="000C6255">
        <w:rPr>
          <w:sz w:val="22"/>
          <w:szCs w:val="22"/>
          <w:bdr w:val="none" w:sz="0" w:space="0" w:color="auto" w:frame="1"/>
        </w:rPr>
        <w:t>)</w:t>
      </w:r>
      <w:r w:rsidR="00950BB7">
        <w:rPr>
          <w:sz w:val="22"/>
          <w:szCs w:val="22"/>
          <w:bdr w:val="none" w:sz="0" w:space="0" w:color="auto" w:frame="1"/>
        </w:rPr>
        <w:t xml:space="preserve"> </w:t>
      </w:r>
      <w:r w:rsidR="00581F30">
        <w:rPr>
          <w:sz w:val="22"/>
          <w:szCs w:val="22"/>
          <w:bdr w:val="none" w:sz="0" w:space="0" w:color="auto" w:frame="1"/>
        </w:rPr>
        <w:t>district</w:t>
      </w:r>
      <w:r w:rsidR="00581F30" w:rsidRPr="000C6255">
        <w:rPr>
          <w:sz w:val="22"/>
          <w:szCs w:val="22"/>
          <w:bdr w:val="none" w:sz="0" w:space="0" w:color="auto" w:frame="1"/>
        </w:rPr>
        <w:t>, which allows wineries,</w:t>
      </w:r>
      <w:r w:rsidRPr="000C6255">
        <w:rPr>
          <w:sz w:val="22"/>
          <w:szCs w:val="22"/>
          <w:bdr w:val="none" w:sz="0" w:space="0" w:color="auto" w:frame="1"/>
        </w:rPr>
        <w:t xml:space="preserve"> and accessory</w:t>
      </w:r>
      <w:r w:rsidR="00950BB7">
        <w:rPr>
          <w:sz w:val="22"/>
          <w:szCs w:val="22"/>
          <w:bdr w:val="none" w:sz="0" w:space="0" w:color="auto" w:frame="1"/>
        </w:rPr>
        <w:t xml:space="preserve"> </w:t>
      </w:r>
      <w:r w:rsidR="001D1F47">
        <w:rPr>
          <w:sz w:val="22"/>
          <w:szCs w:val="22"/>
          <w:bdr w:val="none" w:sz="0" w:space="0" w:color="auto" w:frame="1"/>
        </w:rPr>
        <w:t xml:space="preserve">uses </w:t>
      </w:r>
      <w:r w:rsidR="00950BB7">
        <w:rPr>
          <w:sz w:val="22"/>
          <w:szCs w:val="22"/>
          <w:bdr w:val="none" w:sz="0" w:space="0" w:color="auto" w:frame="1"/>
        </w:rPr>
        <w:t>are permitted upon</w:t>
      </w:r>
      <w:r w:rsidRPr="000C6255">
        <w:rPr>
          <w:sz w:val="22"/>
          <w:szCs w:val="22"/>
          <w:bdr w:val="none" w:sz="0" w:space="0" w:color="auto" w:frame="1"/>
        </w:rPr>
        <w:t xml:space="preserve"> approval of a conditional use permit. </w:t>
      </w:r>
      <w:r w:rsidRPr="008230AB">
        <w:rPr>
          <w:sz w:val="22"/>
          <w:szCs w:val="22"/>
        </w:rPr>
        <w:t xml:space="preserve">As discussed in the above special circumstances finding, the </w:t>
      </w:r>
      <w:r w:rsidR="00950BB7">
        <w:rPr>
          <w:sz w:val="22"/>
          <w:szCs w:val="22"/>
        </w:rPr>
        <w:t xml:space="preserve">approval of this </w:t>
      </w:r>
      <w:r w:rsidR="008230AB" w:rsidRPr="008230AB">
        <w:rPr>
          <w:sz w:val="22"/>
          <w:szCs w:val="22"/>
        </w:rPr>
        <w:t xml:space="preserve">variance from the </w:t>
      </w:r>
      <w:r w:rsidR="0060496A">
        <w:rPr>
          <w:sz w:val="22"/>
          <w:szCs w:val="22"/>
        </w:rPr>
        <w:t>600</w:t>
      </w:r>
      <w:r w:rsidR="002512D8">
        <w:rPr>
          <w:sz w:val="22"/>
          <w:szCs w:val="22"/>
        </w:rPr>
        <w:t>’ setback requirement</w:t>
      </w:r>
      <w:r w:rsidR="0060496A">
        <w:rPr>
          <w:sz w:val="22"/>
          <w:szCs w:val="22"/>
        </w:rPr>
        <w:t xml:space="preserve"> from State Highway 29</w:t>
      </w:r>
      <w:r w:rsidR="00581F30" w:rsidRPr="008230AB">
        <w:rPr>
          <w:sz w:val="22"/>
          <w:szCs w:val="22"/>
        </w:rPr>
        <w:t>,</w:t>
      </w:r>
      <w:r w:rsidR="008230AB" w:rsidRPr="008230AB">
        <w:rPr>
          <w:sz w:val="22"/>
          <w:szCs w:val="22"/>
        </w:rPr>
        <w:t xml:space="preserve"> </w:t>
      </w:r>
      <w:r w:rsidR="00950BB7">
        <w:rPr>
          <w:sz w:val="22"/>
          <w:szCs w:val="22"/>
        </w:rPr>
        <w:t>will allow the applicant to minimize the disturbance to th</w:t>
      </w:r>
      <w:r w:rsidR="00334179">
        <w:rPr>
          <w:sz w:val="22"/>
          <w:szCs w:val="22"/>
        </w:rPr>
        <w:t>e</w:t>
      </w:r>
      <w:r w:rsidR="003B0A40">
        <w:rPr>
          <w:sz w:val="22"/>
          <w:szCs w:val="22"/>
        </w:rPr>
        <w:t xml:space="preserve">ir property through </w:t>
      </w:r>
      <w:r w:rsidR="00A63000">
        <w:rPr>
          <w:sz w:val="22"/>
          <w:szCs w:val="22"/>
        </w:rPr>
        <w:t>confinement of the development within th</w:t>
      </w:r>
      <w:r w:rsidR="003B0A40">
        <w:rPr>
          <w:sz w:val="22"/>
          <w:szCs w:val="22"/>
        </w:rPr>
        <w:t xml:space="preserve">e existing </w:t>
      </w:r>
      <w:r w:rsidR="00C715D1">
        <w:rPr>
          <w:sz w:val="22"/>
          <w:szCs w:val="22"/>
        </w:rPr>
        <w:t>developed area</w:t>
      </w:r>
      <w:r w:rsidR="008E5344">
        <w:rPr>
          <w:sz w:val="22"/>
          <w:szCs w:val="22"/>
        </w:rPr>
        <w:t>s</w:t>
      </w:r>
      <w:r w:rsidR="00C715D1">
        <w:rPr>
          <w:sz w:val="22"/>
          <w:szCs w:val="22"/>
        </w:rPr>
        <w:t>,</w:t>
      </w:r>
      <w:r w:rsidR="003B0A40">
        <w:rPr>
          <w:sz w:val="22"/>
          <w:szCs w:val="22"/>
        </w:rPr>
        <w:t xml:space="preserve"> and </w:t>
      </w:r>
      <w:r w:rsidR="008E5344">
        <w:rPr>
          <w:sz w:val="22"/>
          <w:szCs w:val="22"/>
        </w:rPr>
        <w:t xml:space="preserve">will </w:t>
      </w:r>
      <w:r w:rsidR="003B0A40">
        <w:rPr>
          <w:sz w:val="22"/>
          <w:szCs w:val="22"/>
        </w:rPr>
        <w:t xml:space="preserve">not </w:t>
      </w:r>
      <w:proofErr w:type="spellStart"/>
      <w:r w:rsidR="008E5344">
        <w:rPr>
          <w:sz w:val="22"/>
          <w:szCs w:val="22"/>
        </w:rPr>
        <w:t>siginifcantly</w:t>
      </w:r>
      <w:proofErr w:type="spellEnd"/>
      <w:r w:rsidR="008E5344">
        <w:rPr>
          <w:sz w:val="22"/>
          <w:szCs w:val="22"/>
        </w:rPr>
        <w:t xml:space="preserve"> </w:t>
      </w:r>
      <w:r w:rsidR="003B0A40">
        <w:rPr>
          <w:sz w:val="22"/>
          <w:szCs w:val="22"/>
        </w:rPr>
        <w:t>increas</w:t>
      </w:r>
      <w:r w:rsidR="008E5344">
        <w:rPr>
          <w:sz w:val="22"/>
          <w:szCs w:val="22"/>
        </w:rPr>
        <w:t>e</w:t>
      </w:r>
      <w:r w:rsidR="003B0A40">
        <w:rPr>
          <w:sz w:val="22"/>
          <w:szCs w:val="22"/>
        </w:rPr>
        <w:t xml:space="preserve"> the develop</w:t>
      </w:r>
      <w:r w:rsidR="00FE6418">
        <w:rPr>
          <w:sz w:val="22"/>
          <w:szCs w:val="22"/>
        </w:rPr>
        <w:t>ed</w:t>
      </w:r>
      <w:r w:rsidR="003B0A40">
        <w:rPr>
          <w:sz w:val="22"/>
          <w:szCs w:val="22"/>
        </w:rPr>
        <w:t xml:space="preserve"> area of the property via removal of vineyards,</w:t>
      </w:r>
      <w:r w:rsidR="00950BB7">
        <w:rPr>
          <w:sz w:val="22"/>
          <w:szCs w:val="22"/>
        </w:rPr>
        <w:t xml:space="preserve"> while at the same time allowing the applicant to </w:t>
      </w:r>
      <w:r w:rsidR="003B0A40">
        <w:rPr>
          <w:sz w:val="22"/>
          <w:szCs w:val="22"/>
        </w:rPr>
        <w:t>mitigate an</w:t>
      </w:r>
      <w:r w:rsidR="00C715D1">
        <w:rPr>
          <w:sz w:val="22"/>
          <w:szCs w:val="22"/>
        </w:rPr>
        <w:t>y</w:t>
      </w:r>
      <w:r w:rsidR="003B0A40">
        <w:rPr>
          <w:sz w:val="22"/>
          <w:szCs w:val="22"/>
        </w:rPr>
        <w:t xml:space="preserve"> potential adverse </w:t>
      </w:r>
      <w:r w:rsidR="00A63000">
        <w:rPr>
          <w:sz w:val="22"/>
          <w:szCs w:val="22"/>
        </w:rPr>
        <w:t xml:space="preserve">visual </w:t>
      </w:r>
      <w:r w:rsidR="003B0A40">
        <w:rPr>
          <w:sz w:val="22"/>
          <w:szCs w:val="22"/>
        </w:rPr>
        <w:t xml:space="preserve">impacts through providing </w:t>
      </w:r>
      <w:r w:rsidR="00A63000">
        <w:rPr>
          <w:sz w:val="22"/>
          <w:szCs w:val="22"/>
        </w:rPr>
        <w:t>a “</w:t>
      </w:r>
      <w:r w:rsidR="008426C6">
        <w:rPr>
          <w:sz w:val="22"/>
          <w:szCs w:val="22"/>
        </w:rPr>
        <w:t>l</w:t>
      </w:r>
      <w:r w:rsidR="00A63000">
        <w:rPr>
          <w:sz w:val="22"/>
          <w:szCs w:val="22"/>
        </w:rPr>
        <w:t xml:space="preserve">iving </w:t>
      </w:r>
      <w:r w:rsidR="008426C6">
        <w:rPr>
          <w:sz w:val="22"/>
          <w:szCs w:val="22"/>
        </w:rPr>
        <w:t>w</w:t>
      </w:r>
      <w:r w:rsidR="00A63000">
        <w:rPr>
          <w:sz w:val="22"/>
          <w:szCs w:val="22"/>
        </w:rPr>
        <w:t>all” of vines on the sides of the winery building visible to the state highway and northerly property owner</w:t>
      </w:r>
      <w:r w:rsidR="008E5344">
        <w:rPr>
          <w:sz w:val="22"/>
          <w:szCs w:val="22"/>
        </w:rPr>
        <w:t xml:space="preserve"> and by limiting the lighting on the southerly side of the winery building</w:t>
      </w:r>
      <w:r w:rsidR="00A63000">
        <w:rPr>
          <w:sz w:val="22"/>
          <w:szCs w:val="22"/>
        </w:rPr>
        <w:t xml:space="preserve">. There is an orchard on the southerly side </w:t>
      </w:r>
      <w:r w:rsidR="008E5344">
        <w:rPr>
          <w:sz w:val="22"/>
          <w:szCs w:val="22"/>
        </w:rPr>
        <w:t xml:space="preserve">of the </w:t>
      </w:r>
      <w:r w:rsidR="008E5344">
        <w:rPr>
          <w:sz w:val="22"/>
          <w:szCs w:val="22"/>
        </w:rPr>
        <w:lastRenderedPageBreak/>
        <w:t>proposed winery building which will provide additional screening of the south side of the winery building.</w:t>
      </w:r>
    </w:p>
    <w:p w14:paraId="53939DA3" w14:textId="77777777" w:rsidR="00A63000" w:rsidRDefault="00A63000" w:rsidP="0050183D">
      <w:pPr>
        <w:ind w:left="360"/>
        <w:jc w:val="both"/>
        <w:rPr>
          <w:sz w:val="22"/>
          <w:szCs w:val="22"/>
        </w:rPr>
      </w:pPr>
    </w:p>
    <w:p w14:paraId="15905D8C" w14:textId="433946B9" w:rsidR="0050183D" w:rsidRPr="00F21249" w:rsidRDefault="00950BB7" w:rsidP="0050183D">
      <w:pPr>
        <w:ind w:left="360"/>
        <w:jc w:val="both"/>
        <w:rPr>
          <w:i/>
          <w:sz w:val="22"/>
          <w:szCs w:val="22"/>
        </w:rPr>
      </w:pPr>
      <w:r>
        <w:rPr>
          <w:sz w:val="22"/>
          <w:szCs w:val="22"/>
        </w:rPr>
        <w:t>Authorization of this variance moves a portion of the existing entitlements from one are</w:t>
      </w:r>
      <w:r w:rsidR="00334179">
        <w:rPr>
          <w:sz w:val="22"/>
          <w:szCs w:val="22"/>
        </w:rPr>
        <w:t>a</w:t>
      </w:r>
      <w:r>
        <w:rPr>
          <w:sz w:val="22"/>
          <w:szCs w:val="22"/>
        </w:rPr>
        <w:t xml:space="preserve"> to another, thus reducing the overall area to be developed.</w:t>
      </w:r>
      <w:r w:rsidR="008E5344">
        <w:rPr>
          <w:sz w:val="22"/>
          <w:szCs w:val="22"/>
        </w:rPr>
        <w:t xml:space="preserve"> T</w:t>
      </w:r>
      <w:r w:rsidR="0050183D" w:rsidRPr="00F21249">
        <w:rPr>
          <w:sz w:val="22"/>
          <w:szCs w:val="22"/>
        </w:rPr>
        <w:t>he grant of this variance will not confer a spe</w:t>
      </w:r>
      <w:r w:rsidR="008E5344">
        <w:rPr>
          <w:sz w:val="22"/>
          <w:szCs w:val="22"/>
        </w:rPr>
        <w:t>cial privilege to the applicant since</w:t>
      </w:r>
      <w:r w:rsidR="0050183D" w:rsidRPr="00F21249">
        <w:rPr>
          <w:sz w:val="22"/>
          <w:szCs w:val="22"/>
        </w:rPr>
        <w:t xml:space="preserve"> </w:t>
      </w:r>
      <w:r w:rsidR="008E5344" w:rsidRPr="008E5344">
        <w:rPr>
          <w:sz w:val="22"/>
          <w:szCs w:val="22"/>
        </w:rPr>
        <w:t>the property has existing mature trees along the frontage of the property, providing screening of the proposed winery from the State Highway</w:t>
      </w:r>
      <w:r w:rsidR="008E5344">
        <w:rPr>
          <w:sz w:val="22"/>
          <w:szCs w:val="22"/>
        </w:rPr>
        <w:t xml:space="preserve"> and c</w:t>
      </w:r>
      <w:r w:rsidR="008E5344" w:rsidRPr="008E5344">
        <w:rPr>
          <w:sz w:val="22"/>
          <w:szCs w:val="22"/>
        </w:rPr>
        <w:t>onditions have been placed on the project</w:t>
      </w:r>
      <w:r w:rsidR="008D440C">
        <w:rPr>
          <w:sz w:val="22"/>
          <w:szCs w:val="22"/>
        </w:rPr>
        <w:t xml:space="preserve"> requiring</w:t>
      </w:r>
      <w:r w:rsidR="008E5344" w:rsidRPr="008E5344">
        <w:rPr>
          <w:sz w:val="22"/>
          <w:szCs w:val="22"/>
        </w:rPr>
        <w:t xml:space="preserve"> that these trees be maintained to provide continued screening.  </w:t>
      </w:r>
      <w:r w:rsidR="008E5344">
        <w:rPr>
          <w:sz w:val="22"/>
          <w:szCs w:val="22"/>
        </w:rPr>
        <w:t>Fu</w:t>
      </w:r>
      <w:r w:rsidR="008D440C">
        <w:rPr>
          <w:sz w:val="22"/>
          <w:szCs w:val="22"/>
        </w:rPr>
        <w:t>r</w:t>
      </w:r>
      <w:r w:rsidR="008E5344">
        <w:rPr>
          <w:sz w:val="22"/>
          <w:szCs w:val="22"/>
        </w:rPr>
        <w:t>ther, the granting of this variance would not confer a special pri</w:t>
      </w:r>
      <w:r w:rsidR="00C01CD2">
        <w:rPr>
          <w:sz w:val="22"/>
          <w:szCs w:val="22"/>
        </w:rPr>
        <w:t xml:space="preserve">vilege </w:t>
      </w:r>
      <w:r w:rsidR="0050183D" w:rsidRPr="00F21249">
        <w:rPr>
          <w:sz w:val="22"/>
          <w:szCs w:val="22"/>
        </w:rPr>
        <w:t>as the Commission has previously granted variances to allow the construction of wineries, including accessory facilities, within roadway setbacks on properties with the same zoning and substantially similar property characteristics.</w:t>
      </w:r>
      <w:r>
        <w:rPr>
          <w:sz w:val="22"/>
          <w:szCs w:val="22"/>
        </w:rPr>
        <w:t xml:space="preserve"> </w:t>
      </w:r>
      <w:r w:rsidR="002512D8">
        <w:rPr>
          <w:sz w:val="22"/>
          <w:szCs w:val="22"/>
        </w:rPr>
        <w:t>Additional</w:t>
      </w:r>
      <w:r w:rsidR="00DB33E6">
        <w:rPr>
          <w:sz w:val="22"/>
          <w:szCs w:val="22"/>
        </w:rPr>
        <w:t>ly</w:t>
      </w:r>
      <w:r>
        <w:rPr>
          <w:sz w:val="22"/>
          <w:szCs w:val="22"/>
        </w:rPr>
        <w:t xml:space="preserve">, the grant of this variance would not confer a special privilege as the subject parcel </w:t>
      </w:r>
      <w:r w:rsidR="003B0A40">
        <w:rPr>
          <w:sz w:val="22"/>
          <w:szCs w:val="22"/>
        </w:rPr>
        <w:t xml:space="preserve">has already been developed </w:t>
      </w:r>
      <w:r w:rsidR="00A63000">
        <w:rPr>
          <w:sz w:val="22"/>
          <w:szCs w:val="22"/>
        </w:rPr>
        <w:t>with permitted commercial and residential farming activities within</w:t>
      </w:r>
      <w:r w:rsidR="000E3169">
        <w:rPr>
          <w:sz w:val="22"/>
          <w:szCs w:val="22"/>
        </w:rPr>
        <w:t xml:space="preserve"> the </w:t>
      </w:r>
      <w:r w:rsidR="00A63000">
        <w:rPr>
          <w:sz w:val="22"/>
          <w:szCs w:val="22"/>
        </w:rPr>
        <w:t>600</w:t>
      </w:r>
      <w:r w:rsidR="000E3169">
        <w:rPr>
          <w:sz w:val="22"/>
          <w:szCs w:val="22"/>
        </w:rPr>
        <w:t>’ setback requi</w:t>
      </w:r>
      <w:r w:rsidR="00A63000">
        <w:rPr>
          <w:sz w:val="22"/>
          <w:szCs w:val="22"/>
        </w:rPr>
        <w:t>rements and</w:t>
      </w:r>
      <w:r w:rsidR="000E3169">
        <w:rPr>
          <w:sz w:val="22"/>
          <w:szCs w:val="22"/>
        </w:rPr>
        <w:t xml:space="preserve"> now the applicant wants to </w:t>
      </w:r>
      <w:r w:rsidR="00D84625">
        <w:rPr>
          <w:sz w:val="22"/>
          <w:szCs w:val="22"/>
        </w:rPr>
        <w:t>only expand development within previously disturbed area and coordinate the winery operations with the commercial farming activities.</w:t>
      </w:r>
      <w:r w:rsidR="008E5344">
        <w:rPr>
          <w:sz w:val="22"/>
          <w:szCs w:val="22"/>
        </w:rPr>
        <w:t xml:space="preserve"> </w:t>
      </w:r>
    </w:p>
    <w:p w14:paraId="5E61880B" w14:textId="77777777" w:rsidR="0050183D" w:rsidRPr="00F21249" w:rsidRDefault="0050183D" w:rsidP="0050183D">
      <w:pPr>
        <w:ind w:left="360"/>
        <w:jc w:val="both"/>
        <w:rPr>
          <w:sz w:val="22"/>
          <w:szCs w:val="22"/>
        </w:rPr>
      </w:pPr>
    </w:p>
    <w:p w14:paraId="5EAD0171" w14:textId="77777777" w:rsidR="0050183D" w:rsidRPr="00D72876" w:rsidRDefault="0050183D" w:rsidP="0050183D">
      <w:pPr>
        <w:ind w:left="360" w:hanging="360"/>
        <w:jc w:val="both"/>
        <w:rPr>
          <w:sz w:val="22"/>
          <w:szCs w:val="22"/>
        </w:rPr>
      </w:pPr>
      <w:r w:rsidRPr="00D72876">
        <w:rPr>
          <w:sz w:val="22"/>
          <w:szCs w:val="22"/>
        </w:rPr>
        <w:t>10.</w:t>
      </w:r>
      <w:r w:rsidRPr="00D72876">
        <w:rPr>
          <w:sz w:val="22"/>
          <w:szCs w:val="22"/>
        </w:rPr>
        <w:tab/>
        <w:t>Grant of the variance will not adversely affect the public health, safety or welfare of the County of Napa.</w:t>
      </w:r>
    </w:p>
    <w:p w14:paraId="2E1D2A3D" w14:textId="77777777" w:rsidR="0050183D" w:rsidRPr="00D72876" w:rsidRDefault="0050183D" w:rsidP="0050183D">
      <w:pPr>
        <w:ind w:left="360" w:hanging="360"/>
        <w:jc w:val="both"/>
        <w:rPr>
          <w:sz w:val="22"/>
          <w:szCs w:val="22"/>
        </w:rPr>
      </w:pPr>
    </w:p>
    <w:p w14:paraId="2FEA2600" w14:textId="5690E604" w:rsidR="0050183D" w:rsidRPr="00D72876" w:rsidRDefault="0050183D" w:rsidP="0050183D">
      <w:pPr>
        <w:ind w:left="360" w:hanging="360"/>
        <w:jc w:val="both"/>
        <w:rPr>
          <w:sz w:val="22"/>
          <w:szCs w:val="22"/>
        </w:rPr>
      </w:pPr>
      <w:r w:rsidRPr="00D72876">
        <w:rPr>
          <w:sz w:val="22"/>
          <w:szCs w:val="22"/>
        </w:rPr>
        <w:tab/>
      </w:r>
      <w:r w:rsidRPr="00D72876">
        <w:rPr>
          <w:sz w:val="22"/>
          <w:szCs w:val="22"/>
          <w:u w:val="single"/>
        </w:rPr>
        <w:t>Analysis</w:t>
      </w:r>
      <w:r w:rsidRPr="00D72876">
        <w:rPr>
          <w:i/>
          <w:sz w:val="22"/>
          <w:szCs w:val="22"/>
        </w:rPr>
        <w:t xml:space="preserve">: </w:t>
      </w:r>
      <w:r>
        <w:rPr>
          <w:i/>
          <w:sz w:val="22"/>
          <w:szCs w:val="22"/>
        </w:rPr>
        <w:t xml:space="preserve"> </w:t>
      </w:r>
      <w:r w:rsidRPr="00D72876">
        <w:rPr>
          <w:sz w:val="22"/>
          <w:szCs w:val="22"/>
        </w:rPr>
        <w:t xml:space="preserve">The granting of the variance to the winery </w:t>
      </w:r>
      <w:r>
        <w:rPr>
          <w:sz w:val="22"/>
          <w:szCs w:val="22"/>
        </w:rPr>
        <w:t xml:space="preserve">road </w:t>
      </w:r>
      <w:r w:rsidRPr="00D72876">
        <w:rPr>
          <w:sz w:val="22"/>
          <w:szCs w:val="22"/>
        </w:rPr>
        <w:t xml:space="preserve">setback </w:t>
      </w:r>
      <w:r>
        <w:rPr>
          <w:sz w:val="22"/>
          <w:szCs w:val="22"/>
        </w:rPr>
        <w:t xml:space="preserve">(within </w:t>
      </w:r>
      <w:r w:rsidR="00D84625">
        <w:rPr>
          <w:sz w:val="22"/>
          <w:szCs w:val="22"/>
        </w:rPr>
        <w:t>380</w:t>
      </w:r>
      <w:r w:rsidR="00D84625">
        <w:rPr>
          <w:rFonts w:cs="Arial"/>
          <w:sz w:val="22"/>
          <w:szCs w:val="22"/>
        </w:rPr>
        <w:t>±</w:t>
      </w:r>
      <w:r w:rsidR="00D84625">
        <w:rPr>
          <w:sz w:val="22"/>
          <w:szCs w:val="22"/>
        </w:rPr>
        <w:t xml:space="preserve"> feet, 160</w:t>
      </w:r>
      <w:r w:rsidR="00D84625">
        <w:rPr>
          <w:rFonts w:cs="Arial"/>
          <w:sz w:val="22"/>
          <w:szCs w:val="22"/>
        </w:rPr>
        <w:t>±</w:t>
      </w:r>
      <w:r w:rsidR="00D84625">
        <w:rPr>
          <w:sz w:val="22"/>
          <w:szCs w:val="22"/>
        </w:rPr>
        <w:t xml:space="preserve"> feet and </w:t>
      </w:r>
      <w:r w:rsidR="00DB33E6">
        <w:rPr>
          <w:sz w:val="22"/>
          <w:szCs w:val="22"/>
        </w:rPr>
        <w:t>2</w:t>
      </w:r>
      <w:r w:rsidR="00D84625">
        <w:rPr>
          <w:sz w:val="22"/>
          <w:szCs w:val="22"/>
        </w:rPr>
        <w:t>60</w:t>
      </w:r>
      <w:r w:rsidR="00D84625">
        <w:rPr>
          <w:rFonts w:cs="Arial"/>
          <w:sz w:val="22"/>
          <w:szCs w:val="22"/>
        </w:rPr>
        <w:t>±</w:t>
      </w:r>
      <w:r>
        <w:rPr>
          <w:sz w:val="22"/>
          <w:szCs w:val="22"/>
        </w:rPr>
        <w:t xml:space="preserve"> </w:t>
      </w:r>
      <w:r w:rsidRPr="00D72876">
        <w:rPr>
          <w:sz w:val="22"/>
          <w:szCs w:val="22"/>
        </w:rPr>
        <w:t xml:space="preserve">feet </w:t>
      </w:r>
      <w:r>
        <w:rPr>
          <w:sz w:val="22"/>
          <w:szCs w:val="22"/>
        </w:rPr>
        <w:t xml:space="preserve">from </w:t>
      </w:r>
      <w:r w:rsidR="00D84625">
        <w:rPr>
          <w:sz w:val="22"/>
          <w:szCs w:val="22"/>
        </w:rPr>
        <w:t>State Highway 29</w:t>
      </w:r>
      <w:r>
        <w:rPr>
          <w:sz w:val="22"/>
          <w:szCs w:val="22"/>
        </w:rPr>
        <w:t xml:space="preserve"> where </w:t>
      </w:r>
      <w:r w:rsidR="00D84625">
        <w:rPr>
          <w:sz w:val="22"/>
          <w:szCs w:val="22"/>
        </w:rPr>
        <w:t>6</w:t>
      </w:r>
      <w:r>
        <w:rPr>
          <w:sz w:val="22"/>
          <w:szCs w:val="22"/>
        </w:rPr>
        <w:t xml:space="preserve">00 feet is required) </w:t>
      </w:r>
      <w:r w:rsidRPr="00D72876">
        <w:rPr>
          <w:sz w:val="22"/>
          <w:szCs w:val="22"/>
        </w:rPr>
        <w:t xml:space="preserve">will not adversely affect the health or safety of persons residing or working in the neighborhood of the property.  Various County departments have reviewed the Project and commented regarding water, waste water disposal, access, building permits, and fire protection.  Conditions are recommended which will incorporate these comments into the </w:t>
      </w:r>
      <w:r>
        <w:rPr>
          <w:sz w:val="22"/>
          <w:szCs w:val="22"/>
        </w:rPr>
        <w:t>p</w:t>
      </w:r>
      <w:r w:rsidRPr="00D72876">
        <w:rPr>
          <w:sz w:val="22"/>
          <w:szCs w:val="22"/>
        </w:rPr>
        <w:t>roject to assure protection of public health and safety.</w:t>
      </w:r>
    </w:p>
    <w:p w14:paraId="44C09E8C" w14:textId="77777777" w:rsidR="0050183D" w:rsidRPr="00D72876" w:rsidRDefault="0050183D" w:rsidP="0050183D">
      <w:pPr>
        <w:jc w:val="both"/>
        <w:rPr>
          <w:rFonts w:cs="Arial"/>
          <w:sz w:val="22"/>
          <w:szCs w:val="22"/>
        </w:rPr>
      </w:pPr>
    </w:p>
    <w:p w14:paraId="2C8F44D1" w14:textId="77777777" w:rsidR="0050183D" w:rsidRPr="00D72876" w:rsidRDefault="0050183D" w:rsidP="0050183D">
      <w:pPr>
        <w:ind w:left="360" w:hanging="360"/>
        <w:jc w:val="both"/>
        <w:rPr>
          <w:sz w:val="22"/>
          <w:szCs w:val="22"/>
        </w:rPr>
      </w:pPr>
      <w:r w:rsidRPr="00D72876">
        <w:rPr>
          <w:sz w:val="22"/>
          <w:szCs w:val="22"/>
        </w:rPr>
        <w:t>11.</w:t>
      </w:r>
      <w:r w:rsidRPr="00D72876">
        <w:rPr>
          <w:sz w:val="22"/>
          <w:szCs w:val="22"/>
        </w:rPr>
        <w:tab/>
        <w:t xml:space="preserve">Grant of the variance in the case of other groundwater basins, or areas which do not overlay an identified groundwater basin, where grant of the variance cannot satisfy the criteria specified for approval or waiver of a groundwater permit under Section 13.15.070 or 13.15.080, substantial evidence has not been presented demonstrating that the grant of the variance might cause a significant </w:t>
      </w:r>
      <w:proofErr w:type="spellStart"/>
      <w:r w:rsidRPr="00D72876">
        <w:rPr>
          <w:sz w:val="22"/>
          <w:szCs w:val="22"/>
        </w:rPr>
        <w:t>adverse affect</w:t>
      </w:r>
      <w:proofErr w:type="spellEnd"/>
      <w:r w:rsidRPr="00D72876">
        <w:rPr>
          <w:sz w:val="22"/>
          <w:szCs w:val="22"/>
        </w:rPr>
        <w:t xml:space="preserve"> on any underlying groundwater basin or area which does not overlay an identified groundwater basin.</w:t>
      </w:r>
    </w:p>
    <w:p w14:paraId="0F4FC53E" w14:textId="77777777" w:rsidR="0050183D" w:rsidRPr="00D72876" w:rsidRDefault="0050183D" w:rsidP="0050183D">
      <w:pPr>
        <w:jc w:val="both"/>
        <w:rPr>
          <w:sz w:val="22"/>
          <w:szCs w:val="22"/>
        </w:rPr>
      </w:pPr>
    </w:p>
    <w:p w14:paraId="024EA1A9" w14:textId="5210B5EB" w:rsidR="0050183D" w:rsidRPr="00D72876" w:rsidRDefault="0050183D" w:rsidP="0050183D">
      <w:pPr>
        <w:pStyle w:val="BodyTextIndent2"/>
        <w:ind w:left="360" w:firstLine="0"/>
        <w:jc w:val="both"/>
        <w:rPr>
          <w:rFonts w:ascii="Arial" w:hAnsi="Arial" w:cs="Arial"/>
          <w:sz w:val="22"/>
          <w:szCs w:val="22"/>
        </w:rPr>
      </w:pPr>
      <w:r w:rsidRPr="00D72876">
        <w:rPr>
          <w:rFonts w:ascii="Arial" w:hAnsi="Arial" w:cs="Arial"/>
          <w:sz w:val="22"/>
          <w:szCs w:val="22"/>
          <w:u w:val="single"/>
          <w:bdr w:val="none" w:sz="0" w:space="0" w:color="auto" w:frame="1"/>
        </w:rPr>
        <w:t>Analysis</w:t>
      </w:r>
      <w:r w:rsidRPr="00D72876">
        <w:rPr>
          <w:rFonts w:ascii="Arial" w:hAnsi="Arial" w:cs="Arial"/>
          <w:sz w:val="22"/>
          <w:szCs w:val="22"/>
          <w:bdr w:val="none" w:sz="0" w:space="0" w:color="auto" w:frame="1"/>
        </w:rPr>
        <w:t xml:space="preserve">:  The subject property is not located in a “groundwater deficient area” as identified in Section 13.15.010 of the Napa County Code. </w:t>
      </w:r>
      <w:r w:rsidRPr="00D72876">
        <w:rPr>
          <w:rFonts w:ascii="Arial" w:hAnsi="Arial" w:cs="Arial"/>
          <w:sz w:val="22"/>
          <w:szCs w:val="22"/>
        </w:rPr>
        <w:t xml:space="preserve">Minimum thresholds for water use have been established by the Department of Public Works using reports by the United States Geological Survey (USGS). These reports are the result of water resources investigations performed by the USGS in cooperation with the Napa County Flood Control and Water Conservation District. Any project which reduces water usage or any water usage which is at or below the established threshold is, for purposes of the application of the County’s Groundwater Conservation Ordinance, assumed not to have a significant effect on groundwater levels. Based on the submitted </w:t>
      </w:r>
      <w:r w:rsidRPr="00D72876">
        <w:rPr>
          <w:rFonts w:ascii="Arial" w:hAnsi="Arial" w:cs="Arial"/>
          <w:i/>
          <w:sz w:val="22"/>
          <w:szCs w:val="22"/>
        </w:rPr>
        <w:t>Phase One</w:t>
      </w:r>
      <w:r w:rsidRPr="00D72876">
        <w:rPr>
          <w:rFonts w:ascii="Arial" w:hAnsi="Arial" w:cs="Arial"/>
          <w:sz w:val="22"/>
          <w:szCs w:val="22"/>
        </w:rPr>
        <w:t xml:space="preserve"> water availability analysis, the </w:t>
      </w:r>
      <w:r w:rsidR="00DD095A">
        <w:rPr>
          <w:rFonts w:ascii="Arial" w:hAnsi="Arial" w:cs="Arial"/>
          <w:sz w:val="22"/>
          <w:szCs w:val="22"/>
        </w:rPr>
        <w:t>30</w:t>
      </w:r>
      <w:r w:rsidRPr="00D72876">
        <w:rPr>
          <w:rFonts w:ascii="Arial" w:hAnsi="Arial" w:cs="Arial"/>
          <w:sz w:val="22"/>
          <w:szCs w:val="22"/>
        </w:rPr>
        <w:t xml:space="preserve"> acre subject valley-area parcel has a water availability calculation of </w:t>
      </w:r>
      <w:r w:rsidR="00DD095A">
        <w:rPr>
          <w:rFonts w:ascii="Arial" w:hAnsi="Arial" w:cs="Arial"/>
          <w:sz w:val="22"/>
          <w:szCs w:val="22"/>
        </w:rPr>
        <w:t>30</w:t>
      </w:r>
      <w:r w:rsidRPr="00D72876">
        <w:rPr>
          <w:rFonts w:ascii="Arial" w:hAnsi="Arial" w:cs="Arial"/>
          <w:sz w:val="22"/>
          <w:szCs w:val="22"/>
        </w:rPr>
        <w:t xml:space="preserve"> acre feet per year (</w:t>
      </w:r>
      <w:proofErr w:type="spellStart"/>
      <w:r w:rsidRPr="00D72876">
        <w:rPr>
          <w:rFonts w:ascii="Arial" w:hAnsi="Arial" w:cs="Arial"/>
          <w:sz w:val="22"/>
          <w:szCs w:val="22"/>
        </w:rPr>
        <w:t>af</w:t>
      </w:r>
      <w:proofErr w:type="spellEnd"/>
      <w:r w:rsidRPr="00D72876">
        <w:rPr>
          <w:rFonts w:ascii="Arial" w:hAnsi="Arial" w:cs="Arial"/>
          <w:sz w:val="22"/>
          <w:szCs w:val="22"/>
        </w:rPr>
        <w:t>/</w:t>
      </w:r>
      <w:proofErr w:type="spellStart"/>
      <w:r w:rsidRPr="00D72876">
        <w:rPr>
          <w:rFonts w:ascii="Arial" w:hAnsi="Arial" w:cs="Arial"/>
          <w:sz w:val="22"/>
          <w:szCs w:val="22"/>
        </w:rPr>
        <w:t>yr</w:t>
      </w:r>
      <w:proofErr w:type="spellEnd"/>
      <w:r w:rsidRPr="00D72876">
        <w:rPr>
          <w:rFonts w:ascii="Arial" w:hAnsi="Arial" w:cs="Arial"/>
          <w:sz w:val="22"/>
          <w:szCs w:val="22"/>
        </w:rPr>
        <w:t xml:space="preserve">), which is arrived at by multiplying its approximately </w:t>
      </w:r>
      <w:r w:rsidR="00DD095A">
        <w:rPr>
          <w:rFonts w:ascii="Arial" w:hAnsi="Arial" w:cs="Arial"/>
          <w:sz w:val="22"/>
          <w:szCs w:val="22"/>
        </w:rPr>
        <w:t>30</w:t>
      </w:r>
      <w:r w:rsidRPr="00D72876">
        <w:rPr>
          <w:rFonts w:ascii="Arial" w:hAnsi="Arial" w:cs="Arial"/>
          <w:sz w:val="22"/>
          <w:szCs w:val="22"/>
        </w:rPr>
        <w:t xml:space="preserve"> acre size by a one acre feet per year per acre fair share water use factor.  </w:t>
      </w:r>
      <w:r>
        <w:rPr>
          <w:rFonts w:ascii="Arial" w:hAnsi="Arial" w:cs="Arial"/>
          <w:sz w:val="22"/>
          <w:szCs w:val="22"/>
        </w:rPr>
        <w:t>T</w:t>
      </w:r>
      <w:r w:rsidRPr="00D72876">
        <w:rPr>
          <w:rFonts w:ascii="Arial" w:hAnsi="Arial" w:cs="Arial"/>
          <w:sz w:val="22"/>
          <w:szCs w:val="22"/>
        </w:rPr>
        <w:t xml:space="preserve">he Water Demand Calculations submitted </w:t>
      </w:r>
      <w:r>
        <w:rPr>
          <w:rFonts w:ascii="Arial" w:hAnsi="Arial" w:cs="Arial"/>
          <w:sz w:val="22"/>
          <w:szCs w:val="22"/>
        </w:rPr>
        <w:t xml:space="preserve">for the project </w:t>
      </w:r>
      <w:r w:rsidRPr="00D72876">
        <w:rPr>
          <w:rFonts w:ascii="Arial" w:hAnsi="Arial" w:cs="Arial"/>
          <w:sz w:val="22"/>
          <w:szCs w:val="22"/>
        </w:rPr>
        <w:t xml:space="preserve">placed water demand </w:t>
      </w:r>
      <w:r w:rsidR="00122874">
        <w:rPr>
          <w:rFonts w:ascii="Arial" w:hAnsi="Arial" w:cs="Arial"/>
          <w:sz w:val="22"/>
          <w:szCs w:val="22"/>
        </w:rPr>
        <w:t xml:space="preserve">for the </w:t>
      </w:r>
      <w:r w:rsidR="00122874" w:rsidRPr="00D72876">
        <w:rPr>
          <w:rFonts w:ascii="Arial" w:hAnsi="Arial" w:cs="Arial"/>
          <w:sz w:val="22"/>
          <w:szCs w:val="22"/>
        </w:rPr>
        <w:t>winery</w:t>
      </w:r>
      <w:r w:rsidR="00122874">
        <w:rPr>
          <w:rFonts w:ascii="Arial" w:hAnsi="Arial" w:cs="Arial"/>
          <w:sz w:val="22"/>
          <w:szCs w:val="22"/>
        </w:rPr>
        <w:t xml:space="preserve"> including hospitality functions and incidental retail and office use, </w:t>
      </w:r>
      <w:r w:rsidR="00DD095A">
        <w:rPr>
          <w:rFonts w:ascii="Arial" w:hAnsi="Arial" w:cs="Arial"/>
          <w:sz w:val="22"/>
          <w:szCs w:val="22"/>
        </w:rPr>
        <w:t xml:space="preserve">residential, </w:t>
      </w:r>
      <w:r w:rsidR="00122874">
        <w:rPr>
          <w:rFonts w:ascii="Arial" w:hAnsi="Arial" w:cs="Arial"/>
          <w:sz w:val="22"/>
          <w:szCs w:val="22"/>
        </w:rPr>
        <w:t xml:space="preserve">vineyard, </w:t>
      </w:r>
      <w:r w:rsidR="00DD095A">
        <w:rPr>
          <w:rFonts w:ascii="Arial" w:hAnsi="Arial" w:cs="Arial"/>
          <w:sz w:val="22"/>
          <w:szCs w:val="22"/>
        </w:rPr>
        <w:t xml:space="preserve">commercial farm </w:t>
      </w:r>
      <w:r w:rsidR="00122874">
        <w:rPr>
          <w:rFonts w:ascii="Arial" w:hAnsi="Arial" w:cs="Arial"/>
          <w:sz w:val="22"/>
          <w:szCs w:val="22"/>
        </w:rPr>
        <w:t>and landscaping at</w:t>
      </w:r>
      <w:r w:rsidR="00122874" w:rsidRPr="00D72876">
        <w:rPr>
          <w:rFonts w:ascii="Arial" w:hAnsi="Arial" w:cs="Arial"/>
          <w:sz w:val="22"/>
          <w:szCs w:val="22"/>
        </w:rPr>
        <w:t xml:space="preserve"> </w:t>
      </w:r>
      <w:r w:rsidR="00DD095A">
        <w:rPr>
          <w:rFonts w:ascii="Arial" w:hAnsi="Arial" w:cs="Arial"/>
          <w:sz w:val="22"/>
          <w:szCs w:val="22"/>
        </w:rPr>
        <w:t>22.5</w:t>
      </w:r>
      <w:r w:rsidR="00122874" w:rsidRPr="00D72876">
        <w:rPr>
          <w:rFonts w:ascii="Arial" w:hAnsi="Arial" w:cs="Arial"/>
          <w:sz w:val="22"/>
          <w:szCs w:val="22"/>
        </w:rPr>
        <w:t xml:space="preserve"> </w:t>
      </w:r>
      <w:proofErr w:type="spellStart"/>
      <w:r w:rsidR="00122874" w:rsidRPr="00D72876">
        <w:rPr>
          <w:rFonts w:ascii="Arial" w:hAnsi="Arial" w:cs="Arial"/>
          <w:sz w:val="22"/>
          <w:szCs w:val="22"/>
        </w:rPr>
        <w:t>af</w:t>
      </w:r>
      <w:proofErr w:type="spellEnd"/>
      <w:r w:rsidR="00122874" w:rsidRPr="00D72876">
        <w:rPr>
          <w:rFonts w:ascii="Arial" w:hAnsi="Arial" w:cs="Arial"/>
          <w:sz w:val="22"/>
          <w:szCs w:val="22"/>
        </w:rPr>
        <w:t>/yr</w:t>
      </w:r>
      <w:r w:rsidR="001205C5">
        <w:rPr>
          <w:rFonts w:ascii="Arial" w:hAnsi="Arial" w:cs="Arial"/>
          <w:sz w:val="22"/>
          <w:szCs w:val="22"/>
        </w:rPr>
        <w:t xml:space="preserve">. Existing conditions for water demand is </w:t>
      </w:r>
      <w:proofErr w:type="gramStart"/>
      <w:r w:rsidR="00DD095A">
        <w:rPr>
          <w:rFonts w:ascii="Arial" w:hAnsi="Arial" w:cs="Arial"/>
          <w:sz w:val="22"/>
          <w:szCs w:val="22"/>
        </w:rPr>
        <w:t>20.</w:t>
      </w:r>
      <w:r w:rsidR="009C4CCF">
        <w:rPr>
          <w:rFonts w:ascii="Arial" w:hAnsi="Arial" w:cs="Arial"/>
          <w:sz w:val="22"/>
          <w:szCs w:val="22"/>
        </w:rPr>
        <w:t>9</w:t>
      </w:r>
      <w:r w:rsidR="001205C5">
        <w:rPr>
          <w:rFonts w:ascii="Arial" w:hAnsi="Arial" w:cs="Arial"/>
          <w:sz w:val="22"/>
          <w:szCs w:val="22"/>
        </w:rPr>
        <w:t xml:space="preserve"> </w:t>
      </w:r>
      <w:proofErr w:type="spellStart"/>
      <w:r w:rsidR="001205C5">
        <w:rPr>
          <w:rFonts w:ascii="Arial" w:hAnsi="Arial" w:cs="Arial"/>
          <w:sz w:val="22"/>
          <w:szCs w:val="22"/>
        </w:rPr>
        <w:t>af</w:t>
      </w:r>
      <w:proofErr w:type="spellEnd"/>
      <w:r w:rsidR="001205C5">
        <w:rPr>
          <w:rFonts w:ascii="Arial" w:hAnsi="Arial" w:cs="Arial"/>
          <w:sz w:val="22"/>
          <w:szCs w:val="22"/>
        </w:rPr>
        <w:t>/yr</w:t>
      </w:r>
      <w:proofErr w:type="gramEnd"/>
      <w:r w:rsidR="001205C5">
        <w:rPr>
          <w:rFonts w:ascii="Arial" w:hAnsi="Arial" w:cs="Arial"/>
          <w:sz w:val="22"/>
          <w:szCs w:val="22"/>
        </w:rPr>
        <w:t xml:space="preserve">.  The </w:t>
      </w:r>
      <w:r w:rsidR="00DD095A">
        <w:rPr>
          <w:rFonts w:ascii="Arial" w:hAnsi="Arial" w:cs="Arial"/>
          <w:sz w:val="22"/>
          <w:szCs w:val="22"/>
        </w:rPr>
        <w:t>vineyard</w:t>
      </w:r>
      <w:r w:rsidR="001205C5">
        <w:rPr>
          <w:rFonts w:ascii="Arial" w:hAnsi="Arial" w:cs="Arial"/>
          <w:sz w:val="22"/>
          <w:szCs w:val="22"/>
        </w:rPr>
        <w:t xml:space="preserve"> demand is </w:t>
      </w:r>
      <w:r w:rsidR="00DD095A">
        <w:rPr>
          <w:rFonts w:ascii="Arial" w:hAnsi="Arial" w:cs="Arial"/>
          <w:sz w:val="22"/>
          <w:szCs w:val="22"/>
        </w:rPr>
        <w:t xml:space="preserve">reduced 1 </w:t>
      </w:r>
      <w:proofErr w:type="spellStart"/>
      <w:r w:rsidR="00DD095A">
        <w:rPr>
          <w:rFonts w:ascii="Arial" w:hAnsi="Arial" w:cs="Arial"/>
          <w:sz w:val="22"/>
          <w:szCs w:val="22"/>
        </w:rPr>
        <w:t>af</w:t>
      </w:r>
      <w:proofErr w:type="spellEnd"/>
      <w:r w:rsidR="00DD095A">
        <w:rPr>
          <w:rFonts w:ascii="Arial" w:hAnsi="Arial" w:cs="Arial"/>
          <w:sz w:val="22"/>
          <w:szCs w:val="22"/>
        </w:rPr>
        <w:t>/</w:t>
      </w:r>
      <w:proofErr w:type="spellStart"/>
      <w:r w:rsidR="00DD095A">
        <w:rPr>
          <w:rFonts w:ascii="Arial" w:hAnsi="Arial" w:cs="Arial"/>
          <w:sz w:val="22"/>
          <w:szCs w:val="22"/>
        </w:rPr>
        <w:t>yr</w:t>
      </w:r>
      <w:proofErr w:type="spellEnd"/>
      <w:r w:rsidR="00DD095A">
        <w:rPr>
          <w:rFonts w:ascii="Arial" w:hAnsi="Arial" w:cs="Arial"/>
          <w:sz w:val="22"/>
          <w:szCs w:val="22"/>
        </w:rPr>
        <w:t xml:space="preserve"> </w:t>
      </w:r>
      <w:r w:rsidR="00DD095A">
        <w:rPr>
          <w:rFonts w:ascii="Arial" w:hAnsi="Arial" w:cs="Arial"/>
          <w:sz w:val="22"/>
          <w:szCs w:val="22"/>
        </w:rPr>
        <w:lastRenderedPageBreak/>
        <w:t>from</w:t>
      </w:r>
      <w:r w:rsidR="001205C5">
        <w:rPr>
          <w:rFonts w:ascii="Arial" w:hAnsi="Arial" w:cs="Arial"/>
          <w:sz w:val="22"/>
          <w:szCs w:val="22"/>
        </w:rPr>
        <w:t xml:space="preserve"> existing conditions due to proposed </w:t>
      </w:r>
      <w:r w:rsidR="00DD095A">
        <w:rPr>
          <w:rFonts w:ascii="Arial" w:hAnsi="Arial" w:cs="Arial"/>
          <w:sz w:val="22"/>
          <w:szCs w:val="22"/>
        </w:rPr>
        <w:t>wastewater recycling development</w:t>
      </w:r>
      <w:r w:rsidR="00122874" w:rsidRPr="00D72876">
        <w:rPr>
          <w:rFonts w:ascii="Arial" w:hAnsi="Arial" w:cs="Arial"/>
          <w:sz w:val="22"/>
          <w:szCs w:val="22"/>
        </w:rPr>
        <w:t xml:space="preserve">. </w:t>
      </w:r>
      <w:r w:rsidRPr="00D72876">
        <w:rPr>
          <w:rFonts w:ascii="Arial" w:hAnsi="Arial" w:cs="Arial"/>
          <w:sz w:val="22"/>
          <w:szCs w:val="22"/>
        </w:rPr>
        <w:t>Based upon this figure, the project would be below the established threshold for groundwater use on the property. The County is not aware of, nor has it received any reports of, groundwater shortages near the project area. The project will not interfere substantially with groundwater recharge such that there would be a net deficit in aquifer volume or a lowering of the local groundwater level.</w:t>
      </w:r>
    </w:p>
    <w:p w14:paraId="1D9C8479" w14:textId="77777777" w:rsidR="0050183D" w:rsidRDefault="0050183D" w:rsidP="005370FC">
      <w:pPr>
        <w:jc w:val="both"/>
        <w:rPr>
          <w:sz w:val="22"/>
          <w:szCs w:val="22"/>
        </w:rPr>
      </w:pPr>
    </w:p>
    <w:p w14:paraId="1892D2A7" w14:textId="551F2A02" w:rsidR="00AA2002" w:rsidRPr="00D72876" w:rsidRDefault="00AA2002" w:rsidP="005370FC">
      <w:pPr>
        <w:jc w:val="both"/>
        <w:rPr>
          <w:rFonts w:cs="Arial"/>
          <w:b/>
          <w:sz w:val="22"/>
          <w:szCs w:val="22"/>
        </w:rPr>
      </w:pPr>
      <w:r w:rsidRPr="00D72876">
        <w:rPr>
          <w:rFonts w:cs="Arial"/>
          <w:b/>
          <w:sz w:val="22"/>
          <w:szCs w:val="22"/>
          <w:u w:val="single"/>
        </w:rPr>
        <w:t>U</w:t>
      </w:r>
      <w:r w:rsidR="005370FC" w:rsidRPr="00D72876">
        <w:rPr>
          <w:rFonts w:cs="Arial"/>
          <w:b/>
          <w:sz w:val="22"/>
          <w:szCs w:val="22"/>
          <w:u w:val="single"/>
        </w:rPr>
        <w:t xml:space="preserve">SE PERMIT REQUIRED </w:t>
      </w:r>
      <w:r w:rsidR="004006EB" w:rsidRPr="00D72876">
        <w:rPr>
          <w:rFonts w:cs="Arial"/>
          <w:b/>
          <w:sz w:val="22"/>
          <w:szCs w:val="22"/>
          <w:u w:val="single"/>
        </w:rPr>
        <w:t>F</w:t>
      </w:r>
      <w:r w:rsidR="005370FC" w:rsidRPr="00D72876">
        <w:rPr>
          <w:rFonts w:cs="Arial"/>
          <w:b/>
          <w:sz w:val="22"/>
          <w:szCs w:val="22"/>
          <w:u w:val="single"/>
        </w:rPr>
        <w:t>INGINGS</w:t>
      </w:r>
      <w:r w:rsidR="005370FC" w:rsidRPr="00D72876">
        <w:rPr>
          <w:rFonts w:cs="Arial"/>
          <w:b/>
          <w:sz w:val="22"/>
          <w:szCs w:val="22"/>
        </w:rPr>
        <w:t>:</w:t>
      </w:r>
    </w:p>
    <w:p w14:paraId="53A82017" w14:textId="77777777" w:rsidR="004006EB" w:rsidRPr="00D72876" w:rsidRDefault="004006EB" w:rsidP="005370FC">
      <w:pPr>
        <w:jc w:val="both"/>
        <w:rPr>
          <w:rFonts w:cs="Arial"/>
          <w:b/>
          <w:sz w:val="22"/>
          <w:szCs w:val="22"/>
          <w:u w:val="single"/>
        </w:rPr>
      </w:pPr>
    </w:p>
    <w:p w14:paraId="73E400DF" w14:textId="77777777" w:rsidR="00FA726A" w:rsidRPr="00D72876" w:rsidRDefault="00FA726A" w:rsidP="005370FC">
      <w:pPr>
        <w:jc w:val="both"/>
        <w:rPr>
          <w:sz w:val="22"/>
          <w:szCs w:val="22"/>
        </w:rPr>
      </w:pPr>
      <w:r w:rsidRPr="00D72876">
        <w:rPr>
          <w:sz w:val="22"/>
          <w:szCs w:val="22"/>
        </w:rPr>
        <w:t xml:space="preserve">The Commission has reviewed the use permit request in accordance with the requirements of the Napa County Code </w:t>
      </w:r>
      <w:r w:rsidR="004578FA" w:rsidRPr="00D72876">
        <w:rPr>
          <w:sz w:val="22"/>
          <w:szCs w:val="22"/>
        </w:rPr>
        <w:t>Section</w:t>
      </w:r>
      <w:r w:rsidR="00623271">
        <w:rPr>
          <w:sz w:val="22"/>
          <w:szCs w:val="22"/>
        </w:rPr>
        <w:t xml:space="preserve"> </w:t>
      </w:r>
      <w:r w:rsidRPr="00D72876">
        <w:rPr>
          <w:sz w:val="22"/>
          <w:szCs w:val="22"/>
        </w:rPr>
        <w:t>18.124.070 and makes the following findings</w:t>
      </w:r>
      <w:r w:rsidR="005370FC" w:rsidRPr="00D72876">
        <w:rPr>
          <w:sz w:val="22"/>
          <w:szCs w:val="22"/>
        </w:rPr>
        <w:t>.  That:</w:t>
      </w:r>
    </w:p>
    <w:p w14:paraId="0D026825" w14:textId="77777777" w:rsidR="00FA726A" w:rsidRPr="00D72876" w:rsidRDefault="00FA726A" w:rsidP="005370FC">
      <w:pPr>
        <w:jc w:val="both"/>
        <w:rPr>
          <w:sz w:val="22"/>
          <w:szCs w:val="22"/>
        </w:rPr>
      </w:pPr>
    </w:p>
    <w:p w14:paraId="3062141B" w14:textId="77777777" w:rsidR="00C0622B" w:rsidRPr="00D72876" w:rsidRDefault="00AA2002" w:rsidP="00122874">
      <w:pPr>
        <w:numPr>
          <w:ilvl w:val="0"/>
          <w:numId w:val="18"/>
        </w:numPr>
        <w:tabs>
          <w:tab w:val="clear" w:pos="720"/>
        </w:tabs>
        <w:ind w:left="360"/>
        <w:jc w:val="both"/>
        <w:rPr>
          <w:rFonts w:cs="Arial"/>
          <w:sz w:val="22"/>
          <w:szCs w:val="22"/>
        </w:rPr>
      </w:pPr>
      <w:r w:rsidRPr="00D72876">
        <w:rPr>
          <w:rFonts w:cs="Arial"/>
          <w:sz w:val="22"/>
          <w:szCs w:val="22"/>
        </w:rPr>
        <w:t>The Commission has the power to issue a use permit under the zoning regulations in effect as applied to the property</w:t>
      </w:r>
      <w:r w:rsidR="00703C3A" w:rsidRPr="00D72876">
        <w:rPr>
          <w:rFonts w:cs="Arial"/>
          <w:sz w:val="22"/>
          <w:szCs w:val="22"/>
        </w:rPr>
        <w:t>.</w:t>
      </w:r>
    </w:p>
    <w:p w14:paraId="3DAA2048" w14:textId="77777777" w:rsidR="00C0622B" w:rsidRPr="00D72876" w:rsidRDefault="00C0622B" w:rsidP="005370FC">
      <w:pPr>
        <w:ind w:left="360" w:hanging="360"/>
        <w:jc w:val="both"/>
        <w:rPr>
          <w:rFonts w:cs="Arial"/>
          <w:sz w:val="22"/>
          <w:szCs w:val="22"/>
        </w:rPr>
      </w:pPr>
    </w:p>
    <w:p w14:paraId="42A54724" w14:textId="77777777" w:rsidR="00122874" w:rsidRDefault="00C0622B" w:rsidP="00122874">
      <w:pPr>
        <w:ind w:left="360"/>
        <w:jc w:val="both"/>
        <w:rPr>
          <w:rFonts w:cs="Arial"/>
          <w:sz w:val="22"/>
          <w:szCs w:val="22"/>
        </w:rPr>
      </w:pPr>
      <w:r w:rsidRPr="00D72876">
        <w:rPr>
          <w:rFonts w:cs="Arial"/>
          <w:sz w:val="22"/>
          <w:szCs w:val="22"/>
          <w:u w:val="single"/>
        </w:rPr>
        <w:t>Analysis</w:t>
      </w:r>
      <w:r w:rsidRPr="00D72876">
        <w:rPr>
          <w:rFonts w:cs="Arial"/>
          <w:sz w:val="22"/>
          <w:szCs w:val="22"/>
        </w:rPr>
        <w:t xml:space="preserve">: </w:t>
      </w:r>
      <w:r w:rsidR="00AA2002" w:rsidRPr="00D72876">
        <w:rPr>
          <w:rFonts w:cs="Arial"/>
          <w:sz w:val="22"/>
          <w:szCs w:val="22"/>
        </w:rPr>
        <w:t xml:space="preserve">The project is consistent with </w:t>
      </w:r>
      <w:r w:rsidR="002F0D4A" w:rsidRPr="00D72876">
        <w:rPr>
          <w:rFonts w:cs="Arial"/>
          <w:sz w:val="22"/>
          <w:szCs w:val="22"/>
        </w:rPr>
        <w:t>A</w:t>
      </w:r>
      <w:r w:rsidR="00DE0F90">
        <w:rPr>
          <w:rFonts w:cs="Arial"/>
          <w:sz w:val="22"/>
          <w:szCs w:val="22"/>
        </w:rPr>
        <w:t>P</w:t>
      </w:r>
      <w:r w:rsidR="00AA2002" w:rsidRPr="00D72876">
        <w:rPr>
          <w:rFonts w:cs="Arial"/>
          <w:sz w:val="22"/>
          <w:szCs w:val="22"/>
        </w:rPr>
        <w:t xml:space="preserve"> (Agricultural </w:t>
      </w:r>
      <w:r w:rsidR="00DE0F90">
        <w:rPr>
          <w:rFonts w:cs="Arial"/>
          <w:sz w:val="22"/>
          <w:szCs w:val="22"/>
        </w:rPr>
        <w:t>Preserve</w:t>
      </w:r>
      <w:r w:rsidR="00AA2002" w:rsidRPr="00D72876">
        <w:rPr>
          <w:rFonts w:cs="Arial"/>
          <w:sz w:val="22"/>
          <w:szCs w:val="22"/>
        </w:rPr>
        <w:t xml:space="preserve">) zoning district regulations.  A winery (as defined in Napa County Code </w:t>
      </w:r>
      <w:r w:rsidR="004578FA" w:rsidRPr="00D72876">
        <w:rPr>
          <w:rFonts w:cs="Arial"/>
          <w:sz w:val="22"/>
          <w:szCs w:val="22"/>
        </w:rPr>
        <w:t>Section</w:t>
      </w:r>
      <w:r w:rsidR="00AA2002" w:rsidRPr="00D72876">
        <w:rPr>
          <w:rFonts w:cs="Arial"/>
          <w:sz w:val="22"/>
          <w:szCs w:val="22"/>
        </w:rPr>
        <w:t xml:space="preserve"> 18.08.640) and uses in connection with a winery (see Napa County Code Section 18.</w:t>
      </w:r>
      <w:r w:rsidR="00DE0F90">
        <w:rPr>
          <w:rFonts w:cs="Arial"/>
          <w:sz w:val="22"/>
          <w:szCs w:val="22"/>
        </w:rPr>
        <w:t>16</w:t>
      </w:r>
      <w:r w:rsidR="00AA2002" w:rsidRPr="00D72876">
        <w:rPr>
          <w:rFonts w:cs="Arial"/>
          <w:sz w:val="22"/>
          <w:szCs w:val="22"/>
        </w:rPr>
        <w:t xml:space="preserve">.030) are permitted in an </w:t>
      </w:r>
      <w:r w:rsidR="00DE0F90">
        <w:rPr>
          <w:rFonts w:cs="Arial"/>
          <w:sz w:val="22"/>
          <w:szCs w:val="22"/>
        </w:rPr>
        <w:t xml:space="preserve">AP </w:t>
      </w:r>
      <w:r w:rsidR="00AA2002" w:rsidRPr="00D72876">
        <w:rPr>
          <w:rFonts w:cs="Arial"/>
          <w:sz w:val="22"/>
          <w:szCs w:val="22"/>
        </w:rPr>
        <w:t xml:space="preserve">zoned district with an approved use permit.  </w:t>
      </w:r>
      <w:r w:rsidR="00FA726A" w:rsidRPr="00D72876">
        <w:rPr>
          <w:sz w:val="22"/>
          <w:szCs w:val="22"/>
        </w:rPr>
        <w:t>The project complies with the requirements of the Winery Definition Ordinance (Ord. No. 947, 1990) and the remainder of the Napa County Zoning Ordinance (Title 18, Napa County Code) as applicable.</w:t>
      </w:r>
    </w:p>
    <w:p w14:paraId="59A719E0" w14:textId="77777777" w:rsidR="00122874" w:rsidRDefault="00122874" w:rsidP="00122874">
      <w:pPr>
        <w:jc w:val="both"/>
        <w:rPr>
          <w:rFonts w:cs="Arial"/>
          <w:sz w:val="22"/>
          <w:szCs w:val="22"/>
        </w:rPr>
      </w:pPr>
    </w:p>
    <w:p w14:paraId="7A98927E" w14:textId="77777777" w:rsidR="00C0622B" w:rsidRPr="00D72876" w:rsidRDefault="00AA2002" w:rsidP="00122874">
      <w:pPr>
        <w:numPr>
          <w:ilvl w:val="0"/>
          <w:numId w:val="18"/>
        </w:numPr>
        <w:tabs>
          <w:tab w:val="clear" w:pos="720"/>
          <w:tab w:val="num" w:pos="360"/>
        </w:tabs>
        <w:ind w:left="450" w:hanging="450"/>
        <w:jc w:val="both"/>
        <w:rPr>
          <w:rFonts w:cs="Arial"/>
          <w:sz w:val="22"/>
          <w:szCs w:val="22"/>
        </w:rPr>
      </w:pPr>
      <w:r w:rsidRPr="00D72876">
        <w:rPr>
          <w:rFonts w:cs="Arial"/>
          <w:sz w:val="22"/>
          <w:szCs w:val="22"/>
        </w:rPr>
        <w:t>The procedural requirements for a use permit set forth in Chapter 18.124 of the Napa County Code (Use Permits) have been met</w:t>
      </w:r>
      <w:r w:rsidR="00703C3A" w:rsidRPr="00D72876">
        <w:rPr>
          <w:rFonts w:cs="Arial"/>
          <w:sz w:val="22"/>
          <w:szCs w:val="22"/>
        </w:rPr>
        <w:t>.</w:t>
      </w:r>
    </w:p>
    <w:p w14:paraId="4A38F019" w14:textId="77777777" w:rsidR="00C0622B" w:rsidRPr="00D72876" w:rsidRDefault="00C0622B" w:rsidP="005370FC">
      <w:pPr>
        <w:ind w:left="360" w:hanging="360"/>
        <w:jc w:val="both"/>
        <w:rPr>
          <w:rFonts w:cs="Arial"/>
          <w:sz w:val="22"/>
          <w:szCs w:val="22"/>
        </w:rPr>
      </w:pPr>
    </w:p>
    <w:p w14:paraId="055FC088" w14:textId="19E6EC29" w:rsidR="00CC6200" w:rsidRPr="00D72876" w:rsidRDefault="00C0622B" w:rsidP="00CC6200">
      <w:pPr>
        <w:ind w:left="360"/>
        <w:jc w:val="both"/>
        <w:rPr>
          <w:rFonts w:cs="Arial"/>
          <w:sz w:val="22"/>
          <w:szCs w:val="22"/>
        </w:rPr>
      </w:pPr>
      <w:r w:rsidRPr="00D72876">
        <w:rPr>
          <w:rFonts w:cs="Arial"/>
          <w:sz w:val="22"/>
          <w:szCs w:val="22"/>
          <w:u w:val="single"/>
        </w:rPr>
        <w:t>Analysis</w:t>
      </w:r>
      <w:r w:rsidRPr="00D72876">
        <w:rPr>
          <w:rFonts w:cs="Arial"/>
          <w:sz w:val="22"/>
          <w:szCs w:val="22"/>
        </w:rPr>
        <w:t xml:space="preserve">: </w:t>
      </w:r>
      <w:r w:rsidR="00AA2002" w:rsidRPr="00D72876">
        <w:rPr>
          <w:rFonts w:cs="Arial"/>
          <w:sz w:val="22"/>
          <w:szCs w:val="22"/>
        </w:rPr>
        <w:t xml:space="preserve">The use permit </w:t>
      </w:r>
      <w:r w:rsidR="00DE0F90">
        <w:rPr>
          <w:rFonts w:cs="Arial"/>
          <w:sz w:val="22"/>
          <w:szCs w:val="22"/>
        </w:rPr>
        <w:t xml:space="preserve">modification </w:t>
      </w:r>
      <w:r w:rsidR="00AA2002" w:rsidRPr="00D72876">
        <w:rPr>
          <w:rFonts w:cs="Arial"/>
          <w:sz w:val="22"/>
          <w:szCs w:val="22"/>
        </w:rPr>
        <w:t>application has been filed</w:t>
      </w:r>
      <w:r w:rsidR="00F55E99" w:rsidRPr="00D72876">
        <w:rPr>
          <w:rFonts w:cs="Arial"/>
          <w:sz w:val="22"/>
          <w:szCs w:val="22"/>
        </w:rPr>
        <w:t>,</w:t>
      </w:r>
      <w:r w:rsidR="00AA2002" w:rsidRPr="00D72876">
        <w:rPr>
          <w:rFonts w:cs="Arial"/>
          <w:sz w:val="22"/>
          <w:szCs w:val="22"/>
        </w:rPr>
        <w:t xml:space="preserve"> notice</w:t>
      </w:r>
      <w:r w:rsidR="00F55E99" w:rsidRPr="00D72876">
        <w:rPr>
          <w:rFonts w:cs="Arial"/>
          <w:sz w:val="22"/>
          <w:szCs w:val="22"/>
        </w:rPr>
        <w:t>d</w:t>
      </w:r>
      <w:r w:rsidR="00AA2002" w:rsidRPr="00D72876">
        <w:rPr>
          <w:rFonts w:cs="Arial"/>
          <w:sz w:val="22"/>
          <w:szCs w:val="22"/>
        </w:rPr>
        <w:t xml:space="preserve"> and public hearing requirements have been met. </w:t>
      </w:r>
      <w:r w:rsidR="00CC6200" w:rsidRPr="00D72876">
        <w:rPr>
          <w:sz w:val="22"/>
          <w:szCs w:val="22"/>
        </w:rPr>
        <w:t xml:space="preserve">The hearing notice was posted on </w:t>
      </w:r>
      <w:r w:rsidR="00DD095A">
        <w:rPr>
          <w:sz w:val="22"/>
          <w:szCs w:val="22"/>
        </w:rPr>
        <w:t>May 2, 2104</w:t>
      </w:r>
      <w:r w:rsidR="00CC6200" w:rsidRPr="00D72876">
        <w:rPr>
          <w:sz w:val="22"/>
          <w:szCs w:val="22"/>
        </w:rPr>
        <w:t xml:space="preserve"> and copies were forwarded to property owners within 300 feet of the subject parcel and all other interested parties. The CEQA public comment period ran from </w:t>
      </w:r>
      <w:r w:rsidR="00DD095A">
        <w:rPr>
          <w:sz w:val="22"/>
          <w:szCs w:val="22"/>
        </w:rPr>
        <w:t>May 2, 2014</w:t>
      </w:r>
      <w:r w:rsidR="00CC6200" w:rsidRPr="00D72876">
        <w:rPr>
          <w:sz w:val="22"/>
          <w:szCs w:val="22"/>
        </w:rPr>
        <w:t xml:space="preserve"> to </w:t>
      </w:r>
      <w:r w:rsidR="00DD095A">
        <w:rPr>
          <w:sz w:val="22"/>
          <w:szCs w:val="22"/>
        </w:rPr>
        <w:t>June 3,</w:t>
      </w:r>
      <w:r w:rsidR="00CC6200" w:rsidRPr="00D72876">
        <w:rPr>
          <w:sz w:val="22"/>
          <w:szCs w:val="22"/>
        </w:rPr>
        <w:t xml:space="preserve"> 201</w:t>
      </w:r>
      <w:r w:rsidR="00DB33E6">
        <w:rPr>
          <w:sz w:val="22"/>
          <w:szCs w:val="22"/>
        </w:rPr>
        <w:t>4</w:t>
      </w:r>
      <w:r w:rsidR="00DE0F90">
        <w:rPr>
          <w:sz w:val="22"/>
          <w:szCs w:val="22"/>
        </w:rPr>
        <w:t>.</w:t>
      </w:r>
    </w:p>
    <w:p w14:paraId="4569E5E4" w14:textId="77777777" w:rsidR="00394917" w:rsidRPr="00D72876" w:rsidRDefault="00394917" w:rsidP="005370FC">
      <w:pPr>
        <w:ind w:left="360" w:hanging="360"/>
        <w:jc w:val="both"/>
        <w:rPr>
          <w:rFonts w:cs="Arial"/>
          <w:sz w:val="22"/>
          <w:szCs w:val="22"/>
        </w:rPr>
      </w:pPr>
    </w:p>
    <w:p w14:paraId="0AA5366C" w14:textId="77777777" w:rsidR="00C0622B" w:rsidRPr="00D72876" w:rsidRDefault="00122874" w:rsidP="005370FC">
      <w:pPr>
        <w:ind w:left="360" w:hanging="360"/>
        <w:jc w:val="both"/>
        <w:rPr>
          <w:rFonts w:cs="Arial"/>
          <w:sz w:val="22"/>
          <w:szCs w:val="22"/>
        </w:rPr>
      </w:pPr>
      <w:r>
        <w:rPr>
          <w:rFonts w:cs="Arial"/>
          <w:sz w:val="22"/>
          <w:szCs w:val="22"/>
        </w:rPr>
        <w:t>14</w:t>
      </w:r>
      <w:r w:rsidR="002E6BA7" w:rsidRPr="00D72876">
        <w:rPr>
          <w:rFonts w:cs="Arial"/>
          <w:sz w:val="22"/>
          <w:szCs w:val="22"/>
        </w:rPr>
        <w:t>.</w:t>
      </w:r>
      <w:r w:rsidR="006D5142" w:rsidRPr="00D72876">
        <w:rPr>
          <w:rFonts w:cs="Arial"/>
          <w:sz w:val="22"/>
          <w:szCs w:val="22"/>
        </w:rPr>
        <w:tab/>
      </w:r>
      <w:r w:rsidR="00AA2002" w:rsidRPr="00D72876">
        <w:rPr>
          <w:rFonts w:cs="Arial"/>
          <w:sz w:val="22"/>
          <w:szCs w:val="22"/>
        </w:rPr>
        <w:t>The grant</w:t>
      </w:r>
      <w:r w:rsidR="002E6BA7" w:rsidRPr="00D72876">
        <w:rPr>
          <w:rFonts w:cs="Arial"/>
          <w:sz w:val="22"/>
          <w:szCs w:val="22"/>
        </w:rPr>
        <w:t>ing</w:t>
      </w:r>
      <w:r w:rsidR="00AA2002" w:rsidRPr="00D72876">
        <w:rPr>
          <w:rFonts w:cs="Arial"/>
          <w:sz w:val="22"/>
          <w:szCs w:val="22"/>
        </w:rPr>
        <w:t xml:space="preserve"> of the use permit, as conditioned, will not adversely affect the public health, safety or welfare of the County of Napa</w:t>
      </w:r>
      <w:r w:rsidR="000559DC" w:rsidRPr="00D72876">
        <w:rPr>
          <w:rFonts w:cs="Arial"/>
          <w:sz w:val="22"/>
          <w:szCs w:val="22"/>
        </w:rPr>
        <w:t>.</w:t>
      </w:r>
    </w:p>
    <w:p w14:paraId="7F25717F" w14:textId="77777777" w:rsidR="00394917" w:rsidRPr="00D72876" w:rsidRDefault="00394917" w:rsidP="005370FC">
      <w:pPr>
        <w:ind w:left="360" w:hanging="360"/>
        <w:jc w:val="both"/>
        <w:rPr>
          <w:rFonts w:cs="Arial"/>
          <w:sz w:val="22"/>
          <w:szCs w:val="22"/>
        </w:rPr>
      </w:pPr>
    </w:p>
    <w:p w14:paraId="5A80120A" w14:textId="77777777" w:rsidR="00AA2002" w:rsidRPr="00D72876" w:rsidRDefault="00C0622B" w:rsidP="007F71B8">
      <w:pPr>
        <w:ind w:left="360"/>
        <w:jc w:val="both"/>
        <w:rPr>
          <w:rFonts w:cs="Arial"/>
          <w:sz w:val="22"/>
          <w:szCs w:val="22"/>
        </w:rPr>
      </w:pPr>
      <w:r w:rsidRPr="00D72876">
        <w:rPr>
          <w:rFonts w:cs="Arial"/>
          <w:sz w:val="22"/>
          <w:szCs w:val="22"/>
          <w:u w:val="single"/>
        </w:rPr>
        <w:t>Analysis</w:t>
      </w:r>
      <w:r w:rsidRPr="00D72876">
        <w:rPr>
          <w:rFonts w:cs="Arial"/>
          <w:sz w:val="22"/>
          <w:szCs w:val="22"/>
        </w:rPr>
        <w:t xml:space="preserve">: </w:t>
      </w:r>
      <w:r w:rsidR="00AA2002" w:rsidRPr="00D72876">
        <w:rPr>
          <w:rFonts w:cs="Arial"/>
          <w:sz w:val="22"/>
          <w:szCs w:val="22"/>
        </w:rPr>
        <w:t xml:space="preserve">Various County departments have reviewed the project and commented regarding water, waste water disposal, </w:t>
      </w:r>
      <w:r w:rsidR="00F55E99" w:rsidRPr="00D72876">
        <w:rPr>
          <w:rFonts w:cs="Arial"/>
          <w:sz w:val="22"/>
          <w:szCs w:val="22"/>
        </w:rPr>
        <w:t xml:space="preserve">traffic and </w:t>
      </w:r>
      <w:r w:rsidR="00AA2002" w:rsidRPr="00D72876">
        <w:rPr>
          <w:rFonts w:cs="Arial"/>
          <w:sz w:val="22"/>
          <w:szCs w:val="22"/>
        </w:rPr>
        <w:t xml:space="preserve">access, and fire protection. Conditions are recommended which will incorporate these comments into the project to assure the </w:t>
      </w:r>
      <w:r w:rsidR="00F55E99" w:rsidRPr="00D72876">
        <w:rPr>
          <w:rFonts w:cs="Arial"/>
          <w:sz w:val="22"/>
          <w:szCs w:val="22"/>
        </w:rPr>
        <w:t xml:space="preserve">ongoing </w:t>
      </w:r>
      <w:r w:rsidR="00AA2002" w:rsidRPr="00D72876">
        <w:rPr>
          <w:rFonts w:cs="Arial"/>
          <w:sz w:val="22"/>
          <w:szCs w:val="22"/>
        </w:rPr>
        <w:t>protection of the public health and safety.</w:t>
      </w:r>
    </w:p>
    <w:p w14:paraId="7E41020A" w14:textId="77777777" w:rsidR="008720E8" w:rsidRPr="00D72876" w:rsidRDefault="008720E8" w:rsidP="005370FC">
      <w:pPr>
        <w:ind w:left="360" w:hanging="360"/>
        <w:jc w:val="both"/>
        <w:rPr>
          <w:rFonts w:cs="Arial"/>
          <w:sz w:val="22"/>
          <w:szCs w:val="22"/>
        </w:rPr>
      </w:pPr>
    </w:p>
    <w:p w14:paraId="1EF835DE" w14:textId="77777777" w:rsidR="000559DC" w:rsidRPr="00D72876" w:rsidRDefault="004006EB" w:rsidP="005370FC">
      <w:pPr>
        <w:ind w:left="360" w:hanging="360"/>
        <w:jc w:val="both"/>
        <w:rPr>
          <w:rFonts w:cs="Arial"/>
          <w:sz w:val="22"/>
          <w:szCs w:val="22"/>
        </w:rPr>
      </w:pPr>
      <w:r w:rsidRPr="00D72876">
        <w:rPr>
          <w:rFonts w:cs="Arial"/>
          <w:sz w:val="22"/>
          <w:szCs w:val="22"/>
        </w:rPr>
        <w:t>1</w:t>
      </w:r>
      <w:r w:rsidR="00122874">
        <w:rPr>
          <w:rFonts w:cs="Arial"/>
          <w:sz w:val="22"/>
          <w:szCs w:val="22"/>
        </w:rPr>
        <w:t>5</w:t>
      </w:r>
      <w:r w:rsidR="00572732" w:rsidRPr="00D72876">
        <w:rPr>
          <w:rFonts w:cs="Arial"/>
          <w:sz w:val="22"/>
          <w:szCs w:val="22"/>
        </w:rPr>
        <w:t>.</w:t>
      </w:r>
      <w:r w:rsidR="006D5142" w:rsidRPr="00D72876">
        <w:rPr>
          <w:rFonts w:cs="Arial"/>
          <w:sz w:val="22"/>
          <w:szCs w:val="22"/>
        </w:rPr>
        <w:tab/>
      </w:r>
      <w:r w:rsidR="000559DC" w:rsidRPr="00D72876">
        <w:rPr>
          <w:rFonts w:cs="Arial"/>
          <w:sz w:val="22"/>
          <w:szCs w:val="22"/>
        </w:rPr>
        <w:t>The propose</w:t>
      </w:r>
      <w:r w:rsidR="004578FA" w:rsidRPr="00D72876">
        <w:rPr>
          <w:rFonts w:cs="Arial"/>
          <w:sz w:val="22"/>
          <w:szCs w:val="22"/>
        </w:rPr>
        <w:t>d</w:t>
      </w:r>
      <w:r w:rsidR="000559DC" w:rsidRPr="00D72876">
        <w:rPr>
          <w:rFonts w:cs="Arial"/>
          <w:sz w:val="22"/>
          <w:szCs w:val="22"/>
        </w:rPr>
        <w:t xml:space="preserve"> use complies with applicable provisions of the Napa County Code and is consistent with the policies and standards of the Napa County</w:t>
      </w:r>
      <w:r w:rsidR="00AA2002" w:rsidRPr="00D72876">
        <w:rPr>
          <w:rFonts w:cs="Arial"/>
          <w:sz w:val="22"/>
          <w:szCs w:val="22"/>
        </w:rPr>
        <w:t xml:space="preserve"> General Plan</w:t>
      </w:r>
      <w:r w:rsidR="000559DC" w:rsidRPr="00D72876">
        <w:rPr>
          <w:rFonts w:cs="Arial"/>
          <w:sz w:val="22"/>
          <w:szCs w:val="22"/>
        </w:rPr>
        <w:t>.</w:t>
      </w:r>
    </w:p>
    <w:p w14:paraId="33373F6B" w14:textId="77777777" w:rsidR="000559DC" w:rsidRPr="00D72876" w:rsidRDefault="000559DC" w:rsidP="005370FC">
      <w:pPr>
        <w:jc w:val="both"/>
        <w:rPr>
          <w:rFonts w:cs="Arial"/>
          <w:sz w:val="22"/>
          <w:szCs w:val="22"/>
        </w:rPr>
      </w:pPr>
    </w:p>
    <w:p w14:paraId="6988C76E" w14:textId="77777777" w:rsidR="005D5089" w:rsidRPr="00D72876" w:rsidRDefault="005D5089" w:rsidP="005370FC">
      <w:pPr>
        <w:ind w:left="360"/>
        <w:jc w:val="both"/>
        <w:rPr>
          <w:sz w:val="22"/>
          <w:szCs w:val="22"/>
        </w:rPr>
      </w:pPr>
      <w:r w:rsidRPr="00D72876">
        <w:rPr>
          <w:sz w:val="22"/>
          <w:szCs w:val="22"/>
          <w:u w:val="single"/>
        </w:rPr>
        <w:t>Analysis</w:t>
      </w:r>
      <w:r w:rsidRPr="00D72876">
        <w:rPr>
          <w:sz w:val="22"/>
          <w:szCs w:val="22"/>
        </w:rPr>
        <w:t xml:space="preserve">: </w:t>
      </w:r>
      <w:r w:rsidR="00024425" w:rsidRPr="00D72876">
        <w:rPr>
          <w:sz w:val="22"/>
          <w:szCs w:val="22"/>
        </w:rPr>
        <w:t xml:space="preserve"> </w:t>
      </w:r>
      <w:r w:rsidRPr="00D72876">
        <w:rPr>
          <w:sz w:val="22"/>
          <w:szCs w:val="22"/>
        </w:rPr>
        <w:t>The proposed use complies with applicable provisions of the Napa County Code and is consistent with the policies and standards of the Napa County General Plan. The Winery Definition Ordinance (WDO) was established to protect agriculture and open space and to regulate winery development and expansion in a manner that avoids potential negative environmental effects. The project complies with the requirements of the Winery Definition Ordinance (Ord. No. 947, 1990) and the applicable provisions of the Napa County Zoning Ordinance (Title 18, Napa County Code).</w:t>
      </w:r>
    </w:p>
    <w:p w14:paraId="3F57C5D1" w14:textId="77777777" w:rsidR="005D5089" w:rsidRPr="00D72876" w:rsidRDefault="005D5089" w:rsidP="005370FC">
      <w:pPr>
        <w:ind w:left="360"/>
        <w:jc w:val="both"/>
        <w:rPr>
          <w:sz w:val="22"/>
          <w:szCs w:val="22"/>
        </w:rPr>
      </w:pPr>
    </w:p>
    <w:p w14:paraId="254CAA42" w14:textId="77777777" w:rsidR="005D5089" w:rsidRPr="00D72876" w:rsidRDefault="00703C3A" w:rsidP="005370FC">
      <w:pPr>
        <w:ind w:left="360"/>
        <w:jc w:val="both"/>
        <w:rPr>
          <w:sz w:val="22"/>
          <w:szCs w:val="22"/>
        </w:rPr>
      </w:pPr>
      <w:r w:rsidRPr="00D72876">
        <w:rPr>
          <w:rFonts w:cs="Arial"/>
          <w:sz w:val="22"/>
          <w:szCs w:val="22"/>
        </w:rPr>
        <w:t xml:space="preserve">This proposal is consistent with the </w:t>
      </w:r>
      <w:r w:rsidRPr="00D72876">
        <w:rPr>
          <w:rFonts w:cs="Arial"/>
          <w:i/>
          <w:sz w:val="22"/>
          <w:szCs w:val="22"/>
        </w:rPr>
        <w:t>Napa County General Plan 2008</w:t>
      </w:r>
      <w:r w:rsidRPr="00D72876">
        <w:rPr>
          <w:rFonts w:cs="Arial"/>
          <w:sz w:val="22"/>
          <w:szCs w:val="22"/>
        </w:rPr>
        <w:t xml:space="preserve">.  </w:t>
      </w:r>
      <w:r w:rsidR="005D5089" w:rsidRPr="00D72876">
        <w:rPr>
          <w:sz w:val="22"/>
          <w:szCs w:val="22"/>
        </w:rPr>
        <w:t xml:space="preserve">The subject parcel is located on land designated </w:t>
      </w:r>
      <w:r w:rsidR="00CD09EE" w:rsidRPr="00D72876">
        <w:rPr>
          <w:sz w:val="22"/>
          <w:szCs w:val="22"/>
        </w:rPr>
        <w:t xml:space="preserve">Agricultural </w:t>
      </w:r>
      <w:r w:rsidR="003531B0">
        <w:rPr>
          <w:sz w:val="22"/>
          <w:szCs w:val="22"/>
        </w:rPr>
        <w:t xml:space="preserve">Resource </w:t>
      </w:r>
      <w:r w:rsidR="00CD09EE" w:rsidRPr="00D72876">
        <w:rPr>
          <w:sz w:val="22"/>
          <w:szCs w:val="22"/>
        </w:rPr>
        <w:t>(A</w:t>
      </w:r>
      <w:r w:rsidR="003531B0">
        <w:rPr>
          <w:sz w:val="22"/>
          <w:szCs w:val="22"/>
        </w:rPr>
        <w:t>R</w:t>
      </w:r>
      <w:r w:rsidR="00CD09EE" w:rsidRPr="00D72876">
        <w:rPr>
          <w:sz w:val="22"/>
          <w:szCs w:val="22"/>
        </w:rPr>
        <w:t xml:space="preserve">) </w:t>
      </w:r>
      <w:r w:rsidR="005D5089" w:rsidRPr="00D72876">
        <w:rPr>
          <w:sz w:val="22"/>
          <w:szCs w:val="22"/>
        </w:rPr>
        <w:t xml:space="preserve">on the County’s adopted General </w:t>
      </w:r>
      <w:r w:rsidR="005D5089" w:rsidRPr="00D72876">
        <w:rPr>
          <w:sz w:val="22"/>
          <w:szCs w:val="22"/>
        </w:rPr>
        <w:lastRenderedPageBreak/>
        <w:t>Plan Land Use Map. This project is comprised of an agricultural processing facility (winery), along with wine storage, bottling, and other WDO-compliant accessory uses as outlined in and limited by the approved project scope. (See Exhibit ‘B’, Conditions of Approval.) These uses fall within the County’s definition of agriculture and thereby preserve the use of agriculturally designated land for current an</w:t>
      </w:r>
      <w:r w:rsidRPr="00D72876">
        <w:rPr>
          <w:sz w:val="22"/>
          <w:szCs w:val="22"/>
        </w:rPr>
        <w:t>d future agricultural purposes.</w:t>
      </w:r>
    </w:p>
    <w:p w14:paraId="092C7CD2" w14:textId="77777777" w:rsidR="004B68CD" w:rsidRPr="00D72876" w:rsidRDefault="004B68CD" w:rsidP="005370FC">
      <w:pPr>
        <w:ind w:left="360"/>
        <w:jc w:val="both"/>
        <w:rPr>
          <w:sz w:val="22"/>
          <w:szCs w:val="22"/>
        </w:rPr>
      </w:pPr>
    </w:p>
    <w:p w14:paraId="0ABD4BC6" w14:textId="77777777" w:rsidR="005D5089" w:rsidRPr="00D72876" w:rsidRDefault="005D5089" w:rsidP="005370FC">
      <w:pPr>
        <w:ind w:left="360"/>
        <w:jc w:val="both"/>
        <w:rPr>
          <w:sz w:val="22"/>
          <w:szCs w:val="22"/>
        </w:rPr>
      </w:pPr>
      <w:r w:rsidRPr="00D72876">
        <w:rPr>
          <w:sz w:val="22"/>
          <w:szCs w:val="22"/>
        </w:rPr>
        <w:t xml:space="preserve">General Plan Agricultural Preservation and Land Use Goal AG/LU-1 guides the County </w:t>
      </w:r>
      <w:r w:rsidR="00581F30" w:rsidRPr="00D72876">
        <w:rPr>
          <w:sz w:val="22"/>
          <w:szCs w:val="22"/>
        </w:rPr>
        <w:t>to</w:t>
      </w:r>
      <w:r w:rsidRPr="00D72876">
        <w:rPr>
          <w:sz w:val="22"/>
          <w:szCs w:val="22"/>
        </w:rPr>
        <w:t xml:space="preserve"> “preserve existing agricultural land uses and plan for agriculture and related activities as the primary land uses in Napa County.” General Plan Agricultural Preservation and Land Use Goal AG/LU-3 states the County should, “support the economic viability of agriculture, including grape growing, winemaking, other types of agriculture, and supporting industries to ensure the prese</w:t>
      </w:r>
      <w:r w:rsidR="003531B0">
        <w:rPr>
          <w:sz w:val="22"/>
          <w:szCs w:val="22"/>
        </w:rPr>
        <w:t>rvation of agricultural lands.”</w:t>
      </w:r>
    </w:p>
    <w:p w14:paraId="1B10A959" w14:textId="77777777" w:rsidR="005D5089" w:rsidRPr="00D72876" w:rsidRDefault="005D5089" w:rsidP="005370FC">
      <w:pPr>
        <w:ind w:left="360"/>
        <w:jc w:val="both"/>
        <w:rPr>
          <w:sz w:val="22"/>
          <w:szCs w:val="22"/>
        </w:rPr>
      </w:pPr>
    </w:p>
    <w:p w14:paraId="693D7A92" w14:textId="77777777" w:rsidR="005D5089" w:rsidRPr="00D72876" w:rsidRDefault="005D5089" w:rsidP="005370FC">
      <w:pPr>
        <w:ind w:left="360"/>
        <w:jc w:val="both"/>
        <w:rPr>
          <w:sz w:val="22"/>
          <w:szCs w:val="22"/>
        </w:rPr>
      </w:pPr>
      <w:r w:rsidRPr="00D72876">
        <w:rPr>
          <w:sz w:val="22"/>
          <w:szCs w:val="22"/>
        </w:rPr>
        <w:t>As approved here, the use of the property for the “fermenting and processing of grape juice into wine” (NCC Section 18.08.640) supports the economic viability of agriculture within the county consistent with General Plan Agricultural Preservation and Land Use Policy AG/LU-4 (“The County will reserve agricultural lands for agricultural use including lands used for grazing and watershed/ open space…”). Policy AG/LU-8 also states, “The County’s minimum agricultural parcel sizes shall ensure that agricultural areas can be maintained as economic units and General Plan Economic Development Policy E-1 (The County’s economic development will focus on ensuring the continued viability of agriculture…). Approval of this project furthers these key goals.</w:t>
      </w:r>
    </w:p>
    <w:p w14:paraId="76941890" w14:textId="77777777" w:rsidR="005D5089" w:rsidRPr="00D72876" w:rsidRDefault="005D5089" w:rsidP="005370FC">
      <w:pPr>
        <w:ind w:left="360"/>
        <w:jc w:val="both"/>
        <w:rPr>
          <w:sz w:val="22"/>
          <w:szCs w:val="22"/>
        </w:rPr>
      </w:pPr>
    </w:p>
    <w:p w14:paraId="2A7F513D" w14:textId="3A917178" w:rsidR="005D5089" w:rsidRPr="00D72876" w:rsidRDefault="005D5089" w:rsidP="005370FC">
      <w:pPr>
        <w:ind w:left="360"/>
        <w:jc w:val="both"/>
        <w:rPr>
          <w:sz w:val="22"/>
          <w:szCs w:val="22"/>
        </w:rPr>
      </w:pPr>
      <w:r w:rsidRPr="00D72876">
        <w:rPr>
          <w:sz w:val="22"/>
          <w:szCs w:val="22"/>
        </w:rPr>
        <w:t>The General Plan includes two complimentary policies requiring that new wineries, “…be designed to convey their permanence and attractiveness.” (General Plan Agricultural Preservation and Land Use Policy AG/LU-10 and General Plan Community Character Policy CC-2).  The proposed winery, to the extent that it will be publicly visible, will conve</w:t>
      </w:r>
      <w:r w:rsidR="002E0FE7">
        <w:rPr>
          <w:sz w:val="22"/>
          <w:szCs w:val="22"/>
        </w:rPr>
        <w:t>y permanence and attractiveness, incorporating a “living wall” of vines on the exterior of the winery buildings.</w:t>
      </w:r>
    </w:p>
    <w:p w14:paraId="715C4DA0" w14:textId="77777777" w:rsidR="005D5089" w:rsidRPr="00D72876" w:rsidRDefault="005D5089" w:rsidP="005370FC">
      <w:pPr>
        <w:ind w:left="360"/>
        <w:jc w:val="both"/>
        <w:rPr>
          <w:sz w:val="22"/>
          <w:szCs w:val="22"/>
        </w:rPr>
      </w:pPr>
    </w:p>
    <w:p w14:paraId="7D1AE35D" w14:textId="77777777" w:rsidR="005D5089" w:rsidRPr="00D72876" w:rsidRDefault="005D5089" w:rsidP="005370FC">
      <w:pPr>
        <w:ind w:left="360"/>
        <w:jc w:val="both"/>
        <w:rPr>
          <w:rFonts w:cs="Arial"/>
          <w:sz w:val="22"/>
          <w:szCs w:val="22"/>
        </w:rPr>
      </w:pPr>
      <w:r w:rsidRPr="00D72876">
        <w:rPr>
          <w:rFonts w:cs="Arial"/>
          <w:sz w:val="22"/>
          <w:szCs w:val="22"/>
        </w:rPr>
        <w:t xml:space="preserve">Agricultural Policy AG/LU-13 of the County General Plan recognizes wineries, and any use clearly accessory to a winery, as agriculture. The Land Use Standards of the General Plan Policy AG/LU-2 list the processing of agricultural products as one of the general uses recognized by the </w:t>
      </w:r>
      <w:r w:rsidR="003531B0">
        <w:rPr>
          <w:rFonts w:cs="Arial"/>
          <w:sz w:val="22"/>
          <w:szCs w:val="22"/>
        </w:rPr>
        <w:t>AR l</w:t>
      </w:r>
      <w:r w:rsidRPr="00D72876">
        <w:rPr>
          <w:rFonts w:cs="Arial"/>
          <w:sz w:val="22"/>
          <w:szCs w:val="22"/>
        </w:rPr>
        <w:t xml:space="preserve">and use designations. The proposed project allows for the continuation of agriculture as a dominant land use within the county and is consistent with General Plan Agricultural Policy AG/LU-13. </w:t>
      </w:r>
    </w:p>
    <w:p w14:paraId="0B916AE3" w14:textId="77777777" w:rsidR="005D5089" w:rsidRPr="00D72876" w:rsidRDefault="005D5089" w:rsidP="005370FC">
      <w:pPr>
        <w:ind w:left="360"/>
        <w:jc w:val="both"/>
        <w:rPr>
          <w:rFonts w:cs="Arial"/>
          <w:sz w:val="22"/>
          <w:szCs w:val="22"/>
        </w:rPr>
      </w:pPr>
    </w:p>
    <w:p w14:paraId="64BE42EE" w14:textId="77777777" w:rsidR="005D5089" w:rsidRPr="00D72876" w:rsidRDefault="00703C3A" w:rsidP="005370FC">
      <w:pPr>
        <w:ind w:left="360"/>
        <w:jc w:val="both"/>
        <w:rPr>
          <w:sz w:val="22"/>
          <w:szCs w:val="22"/>
        </w:rPr>
      </w:pPr>
      <w:r w:rsidRPr="00D72876">
        <w:rPr>
          <w:sz w:val="22"/>
          <w:szCs w:val="22"/>
        </w:rPr>
        <w:t>T</w:t>
      </w:r>
      <w:r w:rsidR="005D5089" w:rsidRPr="00D72876">
        <w:rPr>
          <w:sz w:val="22"/>
          <w:szCs w:val="22"/>
        </w:rPr>
        <w:t>he project is also consistent with General Plan Conservation Policy CON-53 and CON-</w:t>
      </w:r>
      <w:r w:rsidR="00581F30" w:rsidRPr="00D72876">
        <w:rPr>
          <w:sz w:val="22"/>
          <w:szCs w:val="22"/>
        </w:rPr>
        <w:t>55, which</w:t>
      </w:r>
      <w:r w:rsidR="005D5089" w:rsidRPr="00D72876">
        <w:rPr>
          <w:sz w:val="22"/>
          <w:szCs w:val="22"/>
        </w:rPr>
        <w:t xml:space="preserve"> require that applicants, who are seeking discretionary land use approvals, prove the availability of adequate water </w:t>
      </w:r>
      <w:r w:rsidR="00581F30" w:rsidRPr="00D72876">
        <w:rPr>
          <w:sz w:val="22"/>
          <w:szCs w:val="22"/>
        </w:rPr>
        <w:t>supplies, which</w:t>
      </w:r>
      <w:r w:rsidR="005D5089" w:rsidRPr="00D72876">
        <w:rPr>
          <w:sz w:val="22"/>
          <w:szCs w:val="22"/>
        </w:rPr>
        <w:t xml:space="preserve"> can be appropriated without significant negative impacts on shared groundwater resources. As analyzed below, the proposed winery will not interfere substantially with groundwater recharge based on the criteria established by Napa County Public Works Department.</w:t>
      </w:r>
    </w:p>
    <w:p w14:paraId="721A94B3" w14:textId="77777777" w:rsidR="005D5089" w:rsidRPr="00D72876" w:rsidRDefault="005D5089" w:rsidP="005370FC">
      <w:pPr>
        <w:tabs>
          <w:tab w:val="left" w:pos="-2160"/>
        </w:tabs>
        <w:ind w:left="360" w:hanging="540"/>
        <w:jc w:val="both"/>
        <w:rPr>
          <w:sz w:val="22"/>
          <w:szCs w:val="22"/>
        </w:rPr>
      </w:pPr>
    </w:p>
    <w:p w14:paraId="00C79AFB" w14:textId="77777777" w:rsidR="005D5089" w:rsidRPr="00D72876" w:rsidRDefault="005D5089" w:rsidP="005370FC">
      <w:pPr>
        <w:ind w:left="360"/>
        <w:jc w:val="both"/>
        <w:rPr>
          <w:sz w:val="22"/>
          <w:szCs w:val="22"/>
        </w:rPr>
      </w:pPr>
      <w:r w:rsidRPr="00D72876">
        <w:rPr>
          <w:rFonts w:cs="Arial"/>
          <w:sz w:val="22"/>
          <w:szCs w:val="22"/>
        </w:rPr>
        <w:t xml:space="preserve">Finally, the “Right to Farm” is recognized throughout the General Plan and is specifically called out in Policy AG/LU-15 and in the County Code.  “Right to Farm” provisions ensure that agriculture remains the primary land use in Napa County and is not threatened by potentially competing uses or neighbor complaints. </w:t>
      </w:r>
      <w:r w:rsidRPr="00D72876">
        <w:rPr>
          <w:sz w:val="22"/>
          <w:szCs w:val="22"/>
        </w:rPr>
        <w:t xml:space="preserve">Napa County’s adopted General Plan reinforces the County’s long-standing commitment to agricultural preservation, urban centered growth, and resource conservation. </w:t>
      </w:r>
      <w:r w:rsidR="003531B0">
        <w:rPr>
          <w:sz w:val="22"/>
          <w:szCs w:val="22"/>
        </w:rPr>
        <w:t xml:space="preserve"> </w:t>
      </w:r>
      <w:r w:rsidRPr="00D72876">
        <w:rPr>
          <w:sz w:val="22"/>
          <w:szCs w:val="22"/>
        </w:rPr>
        <w:t>On balance, this project is consistent with the General Plan’s overall policy framework and with the Plan</w:t>
      </w:r>
      <w:r w:rsidR="003531B0">
        <w:rPr>
          <w:sz w:val="22"/>
          <w:szCs w:val="22"/>
        </w:rPr>
        <w:t>’s specific goals and policies.</w:t>
      </w:r>
    </w:p>
    <w:p w14:paraId="04913DB8" w14:textId="77777777" w:rsidR="00F55E99" w:rsidRPr="00D72876" w:rsidRDefault="00F55E99" w:rsidP="005370FC">
      <w:pPr>
        <w:ind w:left="360"/>
        <w:jc w:val="both"/>
        <w:rPr>
          <w:rFonts w:cs="Arial"/>
          <w:sz w:val="22"/>
          <w:szCs w:val="22"/>
        </w:rPr>
      </w:pPr>
    </w:p>
    <w:p w14:paraId="52F9679A" w14:textId="77777777" w:rsidR="00394917" w:rsidRPr="00D72876" w:rsidRDefault="004006EB" w:rsidP="005370FC">
      <w:pPr>
        <w:ind w:left="360" w:hanging="360"/>
        <w:jc w:val="both"/>
        <w:rPr>
          <w:rFonts w:cs="Arial"/>
          <w:sz w:val="22"/>
          <w:szCs w:val="22"/>
        </w:rPr>
      </w:pPr>
      <w:r w:rsidRPr="00D72876">
        <w:rPr>
          <w:rFonts w:cs="Arial"/>
          <w:sz w:val="22"/>
          <w:szCs w:val="22"/>
        </w:rPr>
        <w:t>1</w:t>
      </w:r>
      <w:r w:rsidR="00122874">
        <w:rPr>
          <w:rFonts w:cs="Arial"/>
          <w:sz w:val="22"/>
          <w:szCs w:val="22"/>
        </w:rPr>
        <w:t>6</w:t>
      </w:r>
      <w:r w:rsidRPr="00D72876">
        <w:rPr>
          <w:rFonts w:cs="Arial"/>
          <w:sz w:val="22"/>
          <w:szCs w:val="22"/>
        </w:rPr>
        <w:t>.</w:t>
      </w:r>
      <w:r w:rsidR="006D5142" w:rsidRPr="00D72876">
        <w:rPr>
          <w:rFonts w:cs="Arial"/>
          <w:sz w:val="22"/>
          <w:szCs w:val="22"/>
        </w:rPr>
        <w:tab/>
      </w:r>
      <w:r w:rsidR="00AA2002" w:rsidRPr="00D72876">
        <w:rPr>
          <w:rFonts w:cs="Arial"/>
          <w:sz w:val="22"/>
          <w:szCs w:val="22"/>
        </w:rPr>
        <w:t>The proposed use would not require a new water system or improvement</w:t>
      </w:r>
      <w:r w:rsidR="002E6BA7" w:rsidRPr="00D72876">
        <w:rPr>
          <w:rFonts w:cs="Arial"/>
          <w:sz w:val="22"/>
          <w:szCs w:val="22"/>
        </w:rPr>
        <w:t>s</w:t>
      </w:r>
      <w:r w:rsidR="00AA2002" w:rsidRPr="00D72876">
        <w:rPr>
          <w:rFonts w:cs="Arial"/>
          <w:sz w:val="22"/>
          <w:szCs w:val="22"/>
        </w:rPr>
        <w:t xml:space="preserve"> causing significant adverse effects, either individually or cumulatively, on the affected groundwater basin in Napa County, unless that use would satisfy any of the other criteria specified for approval or waiver of a groundwater permit under Napa County Code </w:t>
      </w:r>
      <w:r w:rsidR="00394917" w:rsidRPr="00D72876">
        <w:rPr>
          <w:rFonts w:cs="Arial"/>
          <w:sz w:val="22"/>
          <w:szCs w:val="22"/>
        </w:rPr>
        <w:t>Section</w:t>
      </w:r>
      <w:r w:rsidR="00AA2002" w:rsidRPr="00D72876">
        <w:rPr>
          <w:rFonts w:cs="Arial"/>
          <w:sz w:val="22"/>
          <w:szCs w:val="22"/>
        </w:rPr>
        <w:t xml:space="preserve"> 13.15.070 or </w:t>
      </w:r>
      <w:r w:rsidR="00394917" w:rsidRPr="00D72876">
        <w:rPr>
          <w:rFonts w:cs="Arial"/>
          <w:sz w:val="22"/>
          <w:szCs w:val="22"/>
        </w:rPr>
        <w:t>Section</w:t>
      </w:r>
      <w:r w:rsidR="00AA2002" w:rsidRPr="00D72876">
        <w:rPr>
          <w:rFonts w:cs="Arial"/>
          <w:sz w:val="22"/>
          <w:szCs w:val="22"/>
        </w:rPr>
        <w:t xml:space="preserve"> 13.15.080.</w:t>
      </w:r>
    </w:p>
    <w:p w14:paraId="45086747" w14:textId="77777777" w:rsidR="00A81C40" w:rsidRPr="00D72876" w:rsidRDefault="00A81C40" w:rsidP="005370FC">
      <w:pPr>
        <w:ind w:left="360" w:hanging="360"/>
        <w:jc w:val="both"/>
        <w:rPr>
          <w:sz w:val="22"/>
          <w:szCs w:val="22"/>
        </w:rPr>
      </w:pPr>
    </w:p>
    <w:p w14:paraId="6E6EF1B2" w14:textId="5F797880" w:rsidR="00024425" w:rsidRPr="00D72876" w:rsidRDefault="00024425" w:rsidP="00703C3A">
      <w:pPr>
        <w:pStyle w:val="BodyTextIndent2"/>
        <w:ind w:left="360" w:firstLine="0"/>
        <w:jc w:val="both"/>
        <w:rPr>
          <w:rFonts w:ascii="Arial" w:hAnsi="Arial" w:cs="Arial"/>
          <w:sz w:val="22"/>
          <w:szCs w:val="22"/>
        </w:rPr>
      </w:pPr>
      <w:r w:rsidRPr="00D72876">
        <w:rPr>
          <w:rFonts w:ascii="Arial" w:hAnsi="Arial" w:cs="Arial"/>
          <w:sz w:val="22"/>
          <w:szCs w:val="22"/>
          <w:u w:val="single"/>
          <w:bdr w:val="none" w:sz="0" w:space="0" w:color="auto" w:frame="1"/>
        </w:rPr>
        <w:t>Analysis</w:t>
      </w:r>
      <w:r w:rsidRPr="00D72876">
        <w:rPr>
          <w:rFonts w:ascii="Arial" w:hAnsi="Arial" w:cs="Arial"/>
          <w:sz w:val="22"/>
          <w:szCs w:val="22"/>
          <w:bdr w:val="none" w:sz="0" w:space="0" w:color="auto" w:frame="1"/>
        </w:rPr>
        <w:t xml:space="preserve">:  The subject property is not located in a “groundwater deficient area” as identified in Section 13.15.010 of the Napa County Code. </w:t>
      </w:r>
      <w:r w:rsidRPr="00D72876">
        <w:rPr>
          <w:rFonts w:ascii="Arial" w:hAnsi="Arial" w:cs="Arial"/>
          <w:sz w:val="22"/>
          <w:szCs w:val="22"/>
        </w:rPr>
        <w:t xml:space="preserve">Minimum thresholds for water use have been established by the Department of Public Works using reports by the United States Geological Survey (USGS). These reports are the result of water resources investigations performed by the USGS in cooperation with the Napa County Flood Control and Water Conservation District. Any project which reduces water usage or any water usage which is at or below the established threshold is, for purposes of the application of the County’s Groundwater Conservation Ordinance, assumed not to have a significant effect on groundwater levels. Based on the submitted </w:t>
      </w:r>
      <w:r w:rsidRPr="00D72876">
        <w:rPr>
          <w:rFonts w:ascii="Arial" w:hAnsi="Arial" w:cs="Arial"/>
          <w:i/>
          <w:sz w:val="22"/>
          <w:szCs w:val="22"/>
        </w:rPr>
        <w:t>Phase One</w:t>
      </w:r>
      <w:r w:rsidRPr="00D72876">
        <w:rPr>
          <w:rFonts w:ascii="Arial" w:hAnsi="Arial" w:cs="Arial"/>
          <w:sz w:val="22"/>
          <w:szCs w:val="22"/>
        </w:rPr>
        <w:t xml:space="preserve"> water availability analysis, the </w:t>
      </w:r>
      <w:r w:rsidR="009468C3">
        <w:rPr>
          <w:rFonts w:ascii="Arial" w:hAnsi="Arial" w:cs="Arial"/>
          <w:sz w:val="22"/>
          <w:szCs w:val="22"/>
        </w:rPr>
        <w:t xml:space="preserve">30 </w:t>
      </w:r>
      <w:r w:rsidRPr="00D72876">
        <w:rPr>
          <w:rFonts w:ascii="Arial" w:hAnsi="Arial" w:cs="Arial"/>
          <w:sz w:val="22"/>
          <w:szCs w:val="22"/>
        </w:rPr>
        <w:t xml:space="preserve">acre subject valley-area parcel has a water availability calculation of </w:t>
      </w:r>
      <w:r w:rsidR="009468C3">
        <w:rPr>
          <w:rFonts w:ascii="Arial" w:hAnsi="Arial" w:cs="Arial"/>
          <w:sz w:val="22"/>
          <w:szCs w:val="22"/>
        </w:rPr>
        <w:t>30</w:t>
      </w:r>
      <w:r w:rsidRPr="00D72876">
        <w:rPr>
          <w:rFonts w:ascii="Arial" w:hAnsi="Arial" w:cs="Arial"/>
          <w:sz w:val="22"/>
          <w:szCs w:val="22"/>
        </w:rPr>
        <w:t xml:space="preserve"> acre feet per year (</w:t>
      </w:r>
      <w:proofErr w:type="spellStart"/>
      <w:r w:rsidRPr="00D72876">
        <w:rPr>
          <w:rFonts w:ascii="Arial" w:hAnsi="Arial" w:cs="Arial"/>
          <w:sz w:val="22"/>
          <w:szCs w:val="22"/>
        </w:rPr>
        <w:t>af</w:t>
      </w:r>
      <w:proofErr w:type="spellEnd"/>
      <w:r w:rsidRPr="00D72876">
        <w:rPr>
          <w:rFonts w:ascii="Arial" w:hAnsi="Arial" w:cs="Arial"/>
          <w:sz w:val="22"/>
          <w:szCs w:val="22"/>
        </w:rPr>
        <w:t>/</w:t>
      </w:r>
      <w:proofErr w:type="spellStart"/>
      <w:r w:rsidRPr="00D72876">
        <w:rPr>
          <w:rFonts w:ascii="Arial" w:hAnsi="Arial" w:cs="Arial"/>
          <w:sz w:val="22"/>
          <w:szCs w:val="22"/>
        </w:rPr>
        <w:t>yr</w:t>
      </w:r>
      <w:proofErr w:type="spellEnd"/>
      <w:r w:rsidRPr="00D72876">
        <w:rPr>
          <w:rFonts w:ascii="Arial" w:hAnsi="Arial" w:cs="Arial"/>
          <w:sz w:val="22"/>
          <w:szCs w:val="22"/>
        </w:rPr>
        <w:t xml:space="preserve">), which is arrived at by multiplying its approximately </w:t>
      </w:r>
      <w:r w:rsidR="009468C3">
        <w:rPr>
          <w:rFonts w:ascii="Arial" w:hAnsi="Arial" w:cs="Arial"/>
          <w:sz w:val="22"/>
          <w:szCs w:val="22"/>
        </w:rPr>
        <w:t>30</w:t>
      </w:r>
      <w:r w:rsidRPr="00D72876">
        <w:rPr>
          <w:rFonts w:ascii="Arial" w:hAnsi="Arial" w:cs="Arial"/>
          <w:sz w:val="22"/>
          <w:szCs w:val="22"/>
        </w:rPr>
        <w:t xml:space="preserve"> acre size by a one acre feet per year per acre fair share water use factor.  </w:t>
      </w:r>
      <w:r w:rsidR="00C3440A">
        <w:rPr>
          <w:rFonts w:ascii="Arial" w:hAnsi="Arial" w:cs="Arial"/>
          <w:sz w:val="22"/>
          <w:szCs w:val="22"/>
        </w:rPr>
        <w:t>T</w:t>
      </w:r>
      <w:r w:rsidRPr="00D72876">
        <w:rPr>
          <w:rFonts w:ascii="Arial" w:hAnsi="Arial" w:cs="Arial"/>
          <w:sz w:val="22"/>
          <w:szCs w:val="22"/>
        </w:rPr>
        <w:t xml:space="preserve">he Water Demand Calculations submitted </w:t>
      </w:r>
      <w:r w:rsidR="00C3440A">
        <w:rPr>
          <w:rFonts w:ascii="Arial" w:hAnsi="Arial" w:cs="Arial"/>
          <w:sz w:val="22"/>
          <w:szCs w:val="22"/>
        </w:rPr>
        <w:t xml:space="preserve">for the project </w:t>
      </w:r>
      <w:r w:rsidRPr="00D72876">
        <w:rPr>
          <w:rFonts w:ascii="Arial" w:hAnsi="Arial" w:cs="Arial"/>
          <w:sz w:val="22"/>
          <w:szCs w:val="22"/>
        </w:rPr>
        <w:t xml:space="preserve">placed water demand for </w:t>
      </w:r>
      <w:r w:rsidR="00250739">
        <w:rPr>
          <w:rFonts w:ascii="Arial" w:hAnsi="Arial" w:cs="Arial"/>
          <w:sz w:val="22"/>
          <w:szCs w:val="22"/>
        </w:rPr>
        <w:t>existing uses on the property</w:t>
      </w:r>
      <w:r w:rsidR="009468C3">
        <w:rPr>
          <w:rFonts w:ascii="Arial" w:hAnsi="Arial" w:cs="Arial"/>
          <w:sz w:val="22"/>
          <w:szCs w:val="22"/>
        </w:rPr>
        <w:t xml:space="preserve"> </w:t>
      </w:r>
      <w:proofErr w:type="gramStart"/>
      <w:r w:rsidR="009468C3">
        <w:rPr>
          <w:rFonts w:ascii="Arial" w:hAnsi="Arial" w:cs="Arial"/>
          <w:sz w:val="22"/>
          <w:szCs w:val="22"/>
        </w:rPr>
        <w:t xml:space="preserve">at 20.9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250739">
        <w:rPr>
          <w:rFonts w:ascii="Arial" w:hAnsi="Arial" w:cs="Arial"/>
          <w:sz w:val="22"/>
          <w:szCs w:val="22"/>
        </w:rPr>
        <w:t xml:space="preserve"> (</w:t>
      </w:r>
      <w:r w:rsidR="009468C3">
        <w:rPr>
          <w:rFonts w:ascii="Arial" w:hAnsi="Arial" w:cs="Arial"/>
          <w:sz w:val="22"/>
          <w:szCs w:val="22"/>
        </w:rPr>
        <w:t xml:space="preserve">residential-.4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 xml:space="preserve">; vineyard-20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 xml:space="preserve">; commercial farm-.5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w:t>
      </w:r>
      <w:proofErr w:type="gramEnd"/>
      <w:r w:rsidR="00AF517D">
        <w:rPr>
          <w:rFonts w:ascii="Arial" w:hAnsi="Arial" w:cs="Arial"/>
          <w:sz w:val="22"/>
          <w:szCs w:val="22"/>
        </w:rPr>
        <w:t>. Th</w:t>
      </w:r>
      <w:r w:rsidRPr="00D72876">
        <w:rPr>
          <w:rFonts w:ascii="Arial" w:hAnsi="Arial" w:cs="Arial"/>
          <w:sz w:val="22"/>
          <w:szCs w:val="22"/>
        </w:rPr>
        <w:t xml:space="preserve">e </w:t>
      </w:r>
      <w:r w:rsidR="00250739">
        <w:rPr>
          <w:rFonts w:ascii="Arial" w:hAnsi="Arial" w:cs="Arial"/>
          <w:sz w:val="22"/>
          <w:szCs w:val="22"/>
        </w:rPr>
        <w:t xml:space="preserve">proposed </w:t>
      </w:r>
      <w:r w:rsidRPr="00D72876">
        <w:rPr>
          <w:rFonts w:ascii="Arial" w:hAnsi="Arial" w:cs="Arial"/>
          <w:sz w:val="22"/>
          <w:szCs w:val="22"/>
        </w:rPr>
        <w:t>winery</w:t>
      </w:r>
      <w:r w:rsidR="00581F30">
        <w:rPr>
          <w:rFonts w:ascii="Arial" w:hAnsi="Arial" w:cs="Arial"/>
          <w:sz w:val="22"/>
          <w:szCs w:val="22"/>
        </w:rPr>
        <w:t xml:space="preserve"> buildings with visitation and marketing activities, </w:t>
      </w:r>
      <w:r w:rsidR="009468C3">
        <w:rPr>
          <w:rFonts w:ascii="Arial" w:hAnsi="Arial" w:cs="Arial"/>
          <w:sz w:val="22"/>
          <w:szCs w:val="22"/>
        </w:rPr>
        <w:t xml:space="preserve">residence, </w:t>
      </w:r>
      <w:r w:rsidR="00581F30">
        <w:rPr>
          <w:rFonts w:ascii="Arial" w:hAnsi="Arial" w:cs="Arial"/>
          <w:sz w:val="22"/>
          <w:szCs w:val="22"/>
        </w:rPr>
        <w:t>additional</w:t>
      </w:r>
      <w:r w:rsidR="00AF517D">
        <w:rPr>
          <w:rFonts w:ascii="Arial" w:hAnsi="Arial" w:cs="Arial"/>
          <w:sz w:val="22"/>
          <w:szCs w:val="22"/>
        </w:rPr>
        <w:t xml:space="preserve"> </w:t>
      </w:r>
      <w:r w:rsidR="00250739">
        <w:rPr>
          <w:rFonts w:ascii="Arial" w:hAnsi="Arial" w:cs="Arial"/>
          <w:sz w:val="22"/>
          <w:szCs w:val="22"/>
        </w:rPr>
        <w:t>landscaping</w:t>
      </w:r>
      <w:r w:rsidR="009468C3">
        <w:rPr>
          <w:rFonts w:ascii="Arial" w:hAnsi="Arial" w:cs="Arial"/>
          <w:sz w:val="22"/>
          <w:szCs w:val="22"/>
        </w:rPr>
        <w:t xml:space="preserve">, commercial farming, </w:t>
      </w:r>
      <w:r w:rsidR="00581F30">
        <w:rPr>
          <w:rFonts w:ascii="Arial" w:hAnsi="Arial" w:cs="Arial"/>
          <w:sz w:val="22"/>
          <w:szCs w:val="22"/>
        </w:rPr>
        <w:t>and vineyards</w:t>
      </w:r>
      <w:r w:rsidR="009468C3">
        <w:rPr>
          <w:rFonts w:ascii="Arial" w:hAnsi="Arial" w:cs="Arial"/>
          <w:sz w:val="22"/>
          <w:szCs w:val="22"/>
        </w:rPr>
        <w:t xml:space="preserve"> (residence-.4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 xml:space="preserve">; winery-2.15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 xml:space="preserve">; vineyard-19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 other agriculture-.5</w:t>
      </w:r>
      <w:r w:rsidR="00BC6A91">
        <w:rPr>
          <w:rFonts w:ascii="Arial" w:hAnsi="Arial" w:cs="Arial"/>
          <w:sz w:val="22"/>
          <w:szCs w:val="22"/>
        </w:rPr>
        <w:t xml:space="preserve"> </w:t>
      </w:r>
      <w:proofErr w:type="spellStart"/>
      <w:r w:rsidR="00BC6A91">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 xml:space="preserve">; landscaping-.15 </w:t>
      </w:r>
      <w:proofErr w:type="spellStart"/>
      <w:r w:rsidR="009468C3">
        <w:rPr>
          <w:rFonts w:ascii="Arial" w:hAnsi="Arial" w:cs="Arial"/>
          <w:sz w:val="22"/>
          <w:szCs w:val="22"/>
        </w:rPr>
        <w:t>af</w:t>
      </w:r>
      <w:proofErr w:type="spellEnd"/>
      <w:r w:rsidR="009468C3">
        <w:rPr>
          <w:rFonts w:ascii="Arial" w:hAnsi="Arial" w:cs="Arial"/>
          <w:sz w:val="22"/>
          <w:szCs w:val="22"/>
        </w:rPr>
        <w:t>/</w:t>
      </w:r>
      <w:proofErr w:type="spellStart"/>
      <w:r w:rsidR="009468C3">
        <w:rPr>
          <w:rFonts w:ascii="Arial" w:hAnsi="Arial" w:cs="Arial"/>
          <w:sz w:val="22"/>
          <w:szCs w:val="22"/>
        </w:rPr>
        <w:t>yr</w:t>
      </w:r>
      <w:proofErr w:type="spellEnd"/>
      <w:r w:rsidR="009468C3">
        <w:rPr>
          <w:rFonts w:ascii="Arial" w:hAnsi="Arial" w:cs="Arial"/>
          <w:sz w:val="22"/>
          <w:szCs w:val="22"/>
        </w:rPr>
        <w:t>)</w:t>
      </w:r>
      <w:r w:rsidR="00581F30">
        <w:rPr>
          <w:rFonts w:ascii="Arial" w:hAnsi="Arial" w:cs="Arial"/>
          <w:sz w:val="22"/>
          <w:szCs w:val="22"/>
        </w:rPr>
        <w:t xml:space="preserve"> place water demand</w:t>
      </w:r>
      <w:r w:rsidR="00250739">
        <w:rPr>
          <w:rFonts w:ascii="Arial" w:hAnsi="Arial" w:cs="Arial"/>
          <w:sz w:val="22"/>
          <w:szCs w:val="22"/>
        </w:rPr>
        <w:t xml:space="preserve"> </w:t>
      </w:r>
      <w:proofErr w:type="gramStart"/>
      <w:r w:rsidR="00250739">
        <w:rPr>
          <w:rFonts w:ascii="Arial" w:hAnsi="Arial" w:cs="Arial"/>
          <w:sz w:val="22"/>
          <w:szCs w:val="22"/>
        </w:rPr>
        <w:t>at</w:t>
      </w:r>
      <w:r w:rsidR="00C3440A" w:rsidRPr="00D72876">
        <w:rPr>
          <w:rFonts w:ascii="Arial" w:hAnsi="Arial" w:cs="Arial"/>
          <w:sz w:val="22"/>
          <w:szCs w:val="22"/>
        </w:rPr>
        <w:t xml:space="preserve"> </w:t>
      </w:r>
      <w:r w:rsidR="009468C3">
        <w:rPr>
          <w:rFonts w:ascii="Arial" w:hAnsi="Arial" w:cs="Arial"/>
          <w:sz w:val="22"/>
          <w:szCs w:val="22"/>
        </w:rPr>
        <w:t>22.5</w:t>
      </w:r>
      <w:r w:rsidR="00C3440A" w:rsidRPr="00D72876">
        <w:rPr>
          <w:rFonts w:ascii="Arial" w:hAnsi="Arial" w:cs="Arial"/>
          <w:sz w:val="22"/>
          <w:szCs w:val="22"/>
        </w:rPr>
        <w:t xml:space="preserve"> </w:t>
      </w:r>
      <w:proofErr w:type="spellStart"/>
      <w:r w:rsidR="00C3440A" w:rsidRPr="00D72876">
        <w:rPr>
          <w:rFonts w:ascii="Arial" w:hAnsi="Arial" w:cs="Arial"/>
          <w:sz w:val="22"/>
          <w:szCs w:val="22"/>
        </w:rPr>
        <w:t>af</w:t>
      </w:r>
      <w:proofErr w:type="spellEnd"/>
      <w:r w:rsidR="00C3440A" w:rsidRPr="00D72876">
        <w:rPr>
          <w:rFonts w:ascii="Arial" w:hAnsi="Arial" w:cs="Arial"/>
          <w:sz w:val="22"/>
          <w:szCs w:val="22"/>
        </w:rPr>
        <w:t>/yr</w:t>
      </w:r>
      <w:r w:rsidR="009468C3">
        <w:rPr>
          <w:rFonts w:ascii="Arial" w:hAnsi="Arial" w:cs="Arial"/>
          <w:sz w:val="22"/>
          <w:szCs w:val="22"/>
        </w:rPr>
        <w:t xml:space="preserve">. </w:t>
      </w:r>
      <w:r w:rsidRPr="00D72876">
        <w:rPr>
          <w:rFonts w:ascii="Arial" w:hAnsi="Arial" w:cs="Arial"/>
          <w:sz w:val="22"/>
          <w:szCs w:val="22"/>
        </w:rPr>
        <w:t>Based upon this figure, the project</w:t>
      </w:r>
      <w:proofErr w:type="gramEnd"/>
      <w:r w:rsidRPr="00D72876">
        <w:rPr>
          <w:rFonts w:ascii="Arial" w:hAnsi="Arial" w:cs="Arial"/>
          <w:sz w:val="22"/>
          <w:szCs w:val="22"/>
        </w:rPr>
        <w:t xml:space="preserve"> would be below the established threshold for groundwater use on the property. The County is not aware of, nor has it received any reports of, groundwater shortages near the project area. The project will not interfere substantially with groundwater recharge such that there would be a net deficit in aquifer volume or a lowering of the local groundwater level.</w:t>
      </w:r>
    </w:p>
    <w:sectPr w:rsidR="00024425" w:rsidRPr="00D72876" w:rsidSect="005A6F1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E3ADE" w14:textId="77777777" w:rsidR="001D1F47" w:rsidRDefault="001D1F47">
      <w:r>
        <w:separator/>
      </w:r>
    </w:p>
  </w:endnote>
  <w:endnote w:type="continuationSeparator" w:id="0">
    <w:p w14:paraId="28A23F4C" w14:textId="77777777" w:rsidR="001D1F47" w:rsidRDefault="001D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6E3A" w14:textId="77777777" w:rsidR="001D1F47" w:rsidRDefault="001D1F47" w:rsidP="00A123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C472D2" w14:textId="77777777" w:rsidR="001D1F47" w:rsidRDefault="001D1F47" w:rsidP="004E57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B0586" w14:textId="77777777" w:rsidR="001D1F47" w:rsidRPr="00024EBA" w:rsidRDefault="001D1F47" w:rsidP="00A123FD">
    <w:pPr>
      <w:pStyle w:val="Footer"/>
      <w:framePr w:wrap="around" w:vAnchor="text" w:hAnchor="margin" w:xAlign="right" w:y="1"/>
      <w:rPr>
        <w:rStyle w:val="PageNumber"/>
        <w:rFonts w:ascii="Arial" w:hAnsi="Arial"/>
        <w:sz w:val="20"/>
        <w:szCs w:val="20"/>
      </w:rPr>
    </w:pPr>
    <w:r>
      <w:rPr>
        <w:rStyle w:val="PageNumber"/>
        <w:rFonts w:ascii="Arial" w:hAnsi="Arial"/>
        <w:sz w:val="20"/>
        <w:szCs w:val="20"/>
      </w:rPr>
      <w:t xml:space="preserve">Page </w:t>
    </w:r>
    <w:r w:rsidRPr="00024EBA">
      <w:rPr>
        <w:rStyle w:val="PageNumber"/>
        <w:rFonts w:ascii="Arial" w:hAnsi="Arial"/>
        <w:sz w:val="20"/>
        <w:szCs w:val="20"/>
      </w:rPr>
      <w:fldChar w:fldCharType="begin"/>
    </w:r>
    <w:r w:rsidRPr="00024EBA">
      <w:rPr>
        <w:rStyle w:val="PageNumber"/>
        <w:rFonts w:ascii="Arial" w:hAnsi="Arial"/>
        <w:sz w:val="20"/>
        <w:szCs w:val="20"/>
      </w:rPr>
      <w:instrText xml:space="preserve">PAGE  </w:instrText>
    </w:r>
    <w:r w:rsidRPr="00024EBA">
      <w:rPr>
        <w:rStyle w:val="PageNumber"/>
        <w:rFonts w:ascii="Arial" w:hAnsi="Arial"/>
        <w:sz w:val="20"/>
        <w:szCs w:val="20"/>
      </w:rPr>
      <w:fldChar w:fldCharType="separate"/>
    </w:r>
    <w:r w:rsidR="008D440C">
      <w:rPr>
        <w:rStyle w:val="PageNumber"/>
        <w:rFonts w:ascii="Arial" w:hAnsi="Arial"/>
        <w:noProof/>
        <w:sz w:val="20"/>
        <w:szCs w:val="20"/>
      </w:rPr>
      <w:t>6</w:t>
    </w:r>
    <w:r w:rsidRPr="00024EBA">
      <w:rPr>
        <w:rStyle w:val="PageNumber"/>
        <w:rFonts w:ascii="Arial" w:hAnsi="Arial"/>
        <w:sz w:val="20"/>
        <w:szCs w:val="20"/>
      </w:rPr>
      <w:fldChar w:fldCharType="end"/>
    </w:r>
    <w:r w:rsidRPr="00024EBA">
      <w:rPr>
        <w:rStyle w:val="PageNumber"/>
        <w:rFonts w:ascii="Arial" w:hAnsi="Arial"/>
        <w:sz w:val="20"/>
        <w:szCs w:val="20"/>
      </w:rPr>
      <w:t xml:space="preserve"> of 5 </w:t>
    </w:r>
  </w:p>
  <w:p w14:paraId="0ABFA1C7" w14:textId="7C18C13A" w:rsidR="001D1F47" w:rsidRPr="00CE2C08" w:rsidRDefault="001D1F47" w:rsidP="004E5786">
    <w:pPr>
      <w:pStyle w:val="Footer"/>
      <w:ind w:right="360"/>
      <w:rPr>
        <w:rFonts w:ascii="Arial" w:hAnsi="Arial" w:cs="Arial"/>
        <w:sz w:val="20"/>
        <w:szCs w:val="20"/>
      </w:rPr>
    </w:pPr>
    <w:r w:rsidRPr="00CE2C08">
      <w:rPr>
        <w:rFonts w:ascii="Arial" w:hAnsi="Arial" w:cs="Arial"/>
        <w:sz w:val="20"/>
        <w:szCs w:val="20"/>
      </w:rPr>
      <w:t xml:space="preserve">Exhibit A </w:t>
    </w:r>
    <w:r>
      <w:rPr>
        <w:rFonts w:ascii="Arial" w:hAnsi="Arial" w:cs="Arial"/>
        <w:sz w:val="20"/>
        <w:szCs w:val="20"/>
      </w:rPr>
      <w:t>–</w:t>
    </w:r>
    <w:r w:rsidRPr="00CE2C08">
      <w:rPr>
        <w:rFonts w:ascii="Arial" w:hAnsi="Arial" w:cs="Arial"/>
        <w:sz w:val="20"/>
        <w:szCs w:val="20"/>
      </w:rPr>
      <w:t xml:space="preserve"> Findings</w:t>
    </w:r>
    <w:r>
      <w:rPr>
        <w:rFonts w:ascii="Arial" w:hAnsi="Arial" w:cs="Arial"/>
        <w:sz w:val="20"/>
        <w:szCs w:val="20"/>
      </w:rPr>
      <w:t xml:space="preserve"> – LMR Rutherford Estate Winery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B30E0" w14:textId="77777777" w:rsidR="001D1F47" w:rsidRDefault="001D1F47">
      <w:r>
        <w:separator/>
      </w:r>
    </w:p>
  </w:footnote>
  <w:footnote w:type="continuationSeparator" w:id="0">
    <w:p w14:paraId="08B11F2C" w14:textId="77777777" w:rsidR="001D1F47" w:rsidRDefault="001D1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0EC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3728E"/>
    <w:multiLevelType w:val="multilevel"/>
    <w:tmpl w:val="E35E47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1A251A"/>
    <w:multiLevelType w:val="hybridMultilevel"/>
    <w:tmpl w:val="C9F69C84"/>
    <w:lvl w:ilvl="0" w:tplc="A5A8B5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A5ED0"/>
    <w:multiLevelType w:val="hybridMultilevel"/>
    <w:tmpl w:val="575E30BE"/>
    <w:lvl w:ilvl="0" w:tplc="FC8C2F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9E5132"/>
    <w:multiLevelType w:val="hybridMultilevel"/>
    <w:tmpl w:val="79AE97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4463826"/>
    <w:multiLevelType w:val="hybridMultilevel"/>
    <w:tmpl w:val="BAE223F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FD379A"/>
    <w:multiLevelType w:val="hybridMultilevel"/>
    <w:tmpl w:val="84FAEC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8959AB"/>
    <w:multiLevelType w:val="hybridMultilevel"/>
    <w:tmpl w:val="61A0B4F8"/>
    <w:lvl w:ilvl="0" w:tplc="D0084C0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463A6"/>
    <w:multiLevelType w:val="hybridMultilevel"/>
    <w:tmpl w:val="EF46D71C"/>
    <w:lvl w:ilvl="0" w:tplc="04090001">
      <w:start w:val="1"/>
      <w:numFmt w:val="bullet"/>
      <w:lvlText w:val=""/>
      <w:lvlJc w:val="left"/>
      <w:pPr>
        <w:tabs>
          <w:tab w:val="num" w:pos="720"/>
        </w:tabs>
        <w:ind w:left="720" w:hanging="360"/>
      </w:pPr>
      <w:rPr>
        <w:rFonts w:ascii="Symbol" w:hAnsi="Symbol" w:hint="default"/>
      </w:rPr>
    </w:lvl>
    <w:lvl w:ilvl="1" w:tplc="E80002BE">
      <w:start w:val="1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B47F9D"/>
    <w:multiLevelType w:val="multilevel"/>
    <w:tmpl w:val="76BC900C"/>
    <w:lvl w:ilvl="0">
      <w:start w:val="1"/>
      <w:numFmt w:val="bullet"/>
      <w:lvlText w:val=""/>
      <w:lvlJc w:val="left"/>
      <w:pPr>
        <w:tabs>
          <w:tab w:val="num" w:pos="720"/>
        </w:tabs>
        <w:ind w:left="720" w:hanging="360"/>
      </w:pPr>
      <w:rPr>
        <w:rFonts w:ascii="Symbol" w:hAnsi="Symbol" w:hint="default"/>
      </w:rPr>
    </w:lvl>
    <w:lvl w:ilvl="1">
      <w:start w:val="7"/>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56755BA"/>
    <w:multiLevelType w:val="multilevel"/>
    <w:tmpl w:val="E35E473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4BFE1558"/>
    <w:multiLevelType w:val="hybridMultilevel"/>
    <w:tmpl w:val="FD4E5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ED13BE"/>
    <w:multiLevelType w:val="hybridMultilevel"/>
    <w:tmpl w:val="573C04CC"/>
    <w:lvl w:ilvl="0" w:tplc="6A9EBFCE">
      <w:start w:val="1"/>
      <w:numFmt w:val="decimal"/>
      <w:lvlText w:val="%1."/>
      <w:lvlJc w:val="left"/>
      <w:pPr>
        <w:tabs>
          <w:tab w:val="num" w:pos="1224"/>
        </w:tabs>
        <w:ind w:left="1224" w:hanging="360"/>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6BA4450B"/>
    <w:multiLevelType w:val="hybridMultilevel"/>
    <w:tmpl w:val="E35E4736"/>
    <w:lvl w:ilvl="0" w:tplc="1E72695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6F637E8E"/>
    <w:multiLevelType w:val="hybridMultilevel"/>
    <w:tmpl w:val="A9E07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3663A6"/>
    <w:multiLevelType w:val="hybridMultilevel"/>
    <w:tmpl w:val="2710FEBA"/>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7D4875E8"/>
    <w:multiLevelType w:val="hybridMultilevel"/>
    <w:tmpl w:val="1406B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573C61"/>
    <w:multiLevelType w:val="hybridMultilevel"/>
    <w:tmpl w:val="1C543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1C3B0F"/>
    <w:multiLevelType w:val="hybridMultilevel"/>
    <w:tmpl w:val="7786D506"/>
    <w:lvl w:ilvl="0" w:tplc="0DD4C4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2"/>
  </w:num>
  <w:num w:numId="4">
    <w:abstractNumId w:val="17"/>
  </w:num>
  <w:num w:numId="5">
    <w:abstractNumId w:val="11"/>
  </w:num>
  <w:num w:numId="6">
    <w:abstractNumId w:val="3"/>
  </w:num>
  <w:num w:numId="7">
    <w:abstractNumId w:val="16"/>
  </w:num>
  <w:num w:numId="8">
    <w:abstractNumId w:val="13"/>
  </w:num>
  <w:num w:numId="9">
    <w:abstractNumId w:val="1"/>
  </w:num>
  <w:num w:numId="10">
    <w:abstractNumId w:val="10"/>
  </w:num>
  <w:num w:numId="11">
    <w:abstractNumId w:val="9"/>
  </w:num>
  <w:num w:numId="12">
    <w:abstractNumId w:val="5"/>
  </w:num>
  <w:num w:numId="13">
    <w:abstractNumId w:val="6"/>
  </w:num>
  <w:num w:numId="14">
    <w:abstractNumId w:val="18"/>
  </w:num>
  <w:num w:numId="15">
    <w:abstractNumId w:val="2"/>
  </w:num>
  <w:num w:numId="16">
    <w:abstractNumId w:val="15"/>
  </w:num>
  <w:num w:numId="17">
    <w:abstractNumId w:val="14"/>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02"/>
    <w:rsid w:val="000072A0"/>
    <w:rsid w:val="00007AEF"/>
    <w:rsid w:val="00016C16"/>
    <w:rsid w:val="000234B3"/>
    <w:rsid w:val="00024425"/>
    <w:rsid w:val="00024EBA"/>
    <w:rsid w:val="00032047"/>
    <w:rsid w:val="0003245D"/>
    <w:rsid w:val="00032A1A"/>
    <w:rsid w:val="0004185E"/>
    <w:rsid w:val="000559DC"/>
    <w:rsid w:val="00057DE0"/>
    <w:rsid w:val="00091D9B"/>
    <w:rsid w:val="00094E40"/>
    <w:rsid w:val="000A2E8B"/>
    <w:rsid w:val="000A39CA"/>
    <w:rsid w:val="000B7812"/>
    <w:rsid w:val="000C6255"/>
    <w:rsid w:val="000E0ED7"/>
    <w:rsid w:val="000E3169"/>
    <w:rsid w:val="00106EE2"/>
    <w:rsid w:val="001205C5"/>
    <w:rsid w:val="00122874"/>
    <w:rsid w:val="00126B0E"/>
    <w:rsid w:val="001275CA"/>
    <w:rsid w:val="0013639B"/>
    <w:rsid w:val="00147836"/>
    <w:rsid w:val="00163FCF"/>
    <w:rsid w:val="00195967"/>
    <w:rsid w:val="001C3224"/>
    <w:rsid w:val="001D1F47"/>
    <w:rsid w:val="001D2584"/>
    <w:rsid w:val="001E2336"/>
    <w:rsid w:val="001E48B3"/>
    <w:rsid w:val="00204DD4"/>
    <w:rsid w:val="00210957"/>
    <w:rsid w:val="00213D9D"/>
    <w:rsid w:val="00222588"/>
    <w:rsid w:val="0023465F"/>
    <w:rsid w:val="002405B9"/>
    <w:rsid w:val="00241D1F"/>
    <w:rsid w:val="00245015"/>
    <w:rsid w:val="002475F9"/>
    <w:rsid w:val="00250739"/>
    <w:rsid w:val="002512D8"/>
    <w:rsid w:val="00251C06"/>
    <w:rsid w:val="00252A86"/>
    <w:rsid w:val="00256632"/>
    <w:rsid w:val="00256B72"/>
    <w:rsid w:val="00274FFF"/>
    <w:rsid w:val="002812BF"/>
    <w:rsid w:val="002843A9"/>
    <w:rsid w:val="00285E42"/>
    <w:rsid w:val="002A36B8"/>
    <w:rsid w:val="002C23B3"/>
    <w:rsid w:val="002E0FE7"/>
    <w:rsid w:val="002E6BA7"/>
    <w:rsid w:val="002E7AB8"/>
    <w:rsid w:val="002F05C5"/>
    <w:rsid w:val="002F0D4A"/>
    <w:rsid w:val="00312519"/>
    <w:rsid w:val="00315DF2"/>
    <w:rsid w:val="003327FB"/>
    <w:rsid w:val="00333532"/>
    <w:rsid w:val="00334179"/>
    <w:rsid w:val="00350602"/>
    <w:rsid w:val="003531B0"/>
    <w:rsid w:val="0035453E"/>
    <w:rsid w:val="00354AE6"/>
    <w:rsid w:val="00373EA5"/>
    <w:rsid w:val="00374271"/>
    <w:rsid w:val="00394917"/>
    <w:rsid w:val="003A3F52"/>
    <w:rsid w:val="003A7193"/>
    <w:rsid w:val="003B0A40"/>
    <w:rsid w:val="003C4FC3"/>
    <w:rsid w:val="003D2513"/>
    <w:rsid w:val="003D40C8"/>
    <w:rsid w:val="003E2A3D"/>
    <w:rsid w:val="003E665E"/>
    <w:rsid w:val="003F0411"/>
    <w:rsid w:val="003F1195"/>
    <w:rsid w:val="003F1BB1"/>
    <w:rsid w:val="003F31F3"/>
    <w:rsid w:val="004005A0"/>
    <w:rsid w:val="004006EB"/>
    <w:rsid w:val="00410F8E"/>
    <w:rsid w:val="0041218C"/>
    <w:rsid w:val="00422891"/>
    <w:rsid w:val="00424EE8"/>
    <w:rsid w:val="004342C4"/>
    <w:rsid w:val="00451AD0"/>
    <w:rsid w:val="00453D60"/>
    <w:rsid w:val="004541CB"/>
    <w:rsid w:val="004578FA"/>
    <w:rsid w:val="004615B9"/>
    <w:rsid w:val="0046310F"/>
    <w:rsid w:val="00471BA0"/>
    <w:rsid w:val="00482C74"/>
    <w:rsid w:val="00494B1A"/>
    <w:rsid w:val="004A0DF4"/>
    <w:rsid w:val="004A15A4"/>
    <w:rsid w:val="004A6E24"/>
    <w:rsid w:val="004B59D6"/>
    <w:rsid w:val="004B68CD"/>
    <w:rsid w:val="004C3650"/>
    <w:rsid w:val="004C7196"/>
    <w:rsid w:val="004D2223"/>
    <w:rsid w:val="004D5C41"/>
    <w:rsid w:val="004E5786"/>
    <w:rsid w:val="004F6264"/>
    <w:rsid w:val="0050183D"/>
    <w:rsid w:val="00501D02"/>
    <w:rsid w:val="00505ABA"/>
    <w:rsid w:val="00511E0D"/>
    <w:rsid w:val="005223BC"/>
    <w:rsid w:val="005360EC"/>
    <w:rsid w:val="005370FC"/>
    <w:rsid w:val="00541469"/>
    <w:rsid w:val="0054282C"/>
    <w:rsid w:val="005559B6"/>
    <w:rsid w:val="005626B7"/>
    <w:rsid w:val="00571CC1"/>
    <w:rsid w:val="00572732"/>
    <w:rsid w:val="00580776"/>
    <w:rsid w:val="00580B1F"/>
    <w:rsid w:val="00581F30"/>
    <w:rsid w:val="005A63A8"/>
    <w:rsid w:val="005A6F17"/>
    <w:rsid w:val="005B6827"/>
    <w:rsid w:val="005B7C7D"/>
    <w:rsid w:val="005D0770"/>
    <w:rsid w:val="005D5089"/>
    <w:rsid w:val="005E1973"/>
    <w:rsid w:val="005F0ADA"/>
    <w:rsid w:val="0060496A"/>
    <w:rsid w:val="006108FB"/>
    <w:rsid w:val="00616F04"/>
    <w:rsid w:val="00623271"/>
    <w:rsid w:val="0062437F"/>
    <w:rsid w:val="00626198"/>
    <w:rsid w:val="00626434"/>
    <w:rsid w:val="006324F1"/>
    <w:rsid w:val="00640AA4"/>
    <w:rsid w:val="00641463"/>
    <w:rsid w:val="00646787"/>
    <w:rsid w:val="006479D9"/>
    <w:rsid w:val="00656C48"/>
    <w:rsid w:val="00661906"/>
    <w:rsid w:val="00661C1D"/>
    <w:rsid w:val="00674664"/>
    <w:rsid w:val="006874B9"/>
    <w:rsid w:val="00687D7E"/>
    <w:rsid w:val="00695353"/>
    <w:rsid w:val="006A74F3"/>
    <w:rsid w:val="006B5180"/>
    <w:rsid w:val="006D053A"/>
    <w:rsid w:val="006D3B4E"/>
    <w:rsid w:val="006D41A4"/>
    <w:rsid w:val="006D5142"/>
    <w:rsid w:val="006E4156"/>
    <w:rsid w:val="006F2381"/>
    <w:rsid w:val="006F26C7"/>
    <w:rsid w:val="006F3039"/>
    <w:rsid w:val="006F42D7"/>
    <w:rsid w:val="00703C3A"/>
    <w:rsid w:val="00704F72"/>
    <w:rsid w:val="00710781"/>
    <w:rsid w:val="00711346"/>
    <w:rsid w:val="0071152A"/>
    <w:rsid w:val="0071167F"/>
    <w:rsid w:val="00713F27"/>
    <w:rsid w:val="00725364"/>
    <w:rsid w:val="007262A1"/>
    <w:rsid w:val="00733A65"/>
    <w:rsid w:val="00741A3F"/>
    <w:rsid w:val="00753A7F"/>
    <w:rsid w:val="00757404"/>
    <w:rsid w:val="00777640"/>
    <w:rsid w:val="00785379"/>
    <w:rsid w:val="0079364E"/>
    <w:rsid w:val="007B7D0E"/>
    <w:rsid w:val="007C08F1"/>
    <w:rsid w:val="007D0098"/>
    <w:rsid w:val="007F1AA1"/>
    <w:rsid w:val="007F71B8"/>
    <w:rsid w:val="008024D1"/>
    <w:rsid w:val="00804217"/>
    <w:rsid w:val="00811C31"/>
    <w:rsid w:val="008230AB"/>
    <w:rsid w:val="0082448E"/>
    <w:rsid w:val="008247E1"/>
    <w:rsid w:val="00826D17"/>
    <w:rsid w:val="0083472F"/>
    <w:rsid w:val="008407B1"/>
    <w:rsid w:val="008426C6"/>
    <w:rsid w:val="008446D7"/>
    <w:rsid w:val="00861BBD"/>
    <w:rsid w:val="00866B80"/>
    <w:rsid w:val="008720E8"/>
    <w:rsid w:val="00872FB3"/>
    <w:rsid w:val="00887347"/>
    <w:rsid w:val="00895DBE"/>
    <w:rsid w:val="008A164C"/>
    <w:rsid w:val="008A166C"/>
    <w:rsid w:val="008D0556"/>
    <w:rsid w:val="008D440C"/>
    <w:rsid w:val="008E5344"/>
    <w:rsid w:val="009056E5"/>
    <w:rsid w:val="0090663E"/>
    <w:rsid w:val="009129FE"/>
    <w:rsid w:val="00914D4B"/>
    <w:rsid w:val="00915557"/>
    <w:rsid w:val="00920BAB"/>
    <w:rsid w:val="00926160"/>
    <w:rsid w:val="0093088F"/>
    <w:rsid w:val="00934AD7"/>
    <w:rsid w:val="00944471"/>
    <w:rsid w:val="009468C3"/>
    <w:rsid w:val="00950BB7"/>
    <w:rsid w:val="00950EA3"/>
    <w:rsid w:val="00962922"/>
    <w:rsid w:val="009636D1"/>
    <w:rsid w:val="00966ADF"/>
    <w:rsid w:val="00966C11"/>
    <w:rsid w:val="00977B5A"/>
    <w:rsid w:val="009875D5"/>
    <w:rsid w:val="009901F8"/>
    <w:rsid w:val="009945BA"/>
    <w:rsid w:val="009A3B9B"/>
    <w:rsid w:val="009A473A"/>
    <w:rsid w:val="009B417D"/>
    <w:rsid w:val="009B66E2"/>
    <w:rsid w:val="009B7407"/>
    <w:rsid w:val="009C2373"/>
    <w:rsid w:val="009C373D"/>
    <w:rsid w:val="009C4CCF"/>
    <w:rsid w:val="00A031B8"/>
    <w:rsid w:val="00A067C5"/>
    <w:rsid w:val="00A123FD"/>
    <w:rsid w:val="00A13C08"/>
    <w:rsid w:val="00A148A7"/>
    <w:rsid w:val="00A2265A"/>
    <w:rsid w:val="00A33CB2"/>
    <w:rsid w:val="00A34FA1"/>
    <w:rsid w:val="00A45C2F"/>
    <w:rsid w:val="00A53758"/>
    <w:rsid w:val="00A55AED"/>
    <w:rsid w:val="00A577C5"/>
    <w:rsid w:val="00A6248D"/>
    <w:rsid w:val="00A63000"/>
    <w:rsid w:val="00A67045"/>
    <w:rsid w:val="00A73AB5"/>
    <w:rsid w:val="00A81C40"/>
    <w:rsid w:val="00A84138"/>
    <w:rsid w:val="00A86BF2"/>
    <w:rsid w:val="00A94298"/>
    <w:rsid w:val="00A9557D"/>
    <w:rsid w:val="00AA2002"/>
    <w:rsid w:val="00AB7A26"/>
    <w:rsid w:val="00AD0F0F"/>
    <w:rsid w:val="00AD1774"/>
    <w:rsid w:val="00AD4202"/>
    <w:rsid w:val="00AD4A43"/>
    <w:rsid w:val="00AF21B8"/>
    <w:rsid w:val="00AF27DC"/>
    <w:rsid w:val="00AF45D9"/>
    <w:rsid w:val="00AF517D"/>
    <w:rsid w:val="00B0753A"/>
    <w:rsid w:val="00B1574F"/>
    <w:rsid w:val="00B24268"/>
    <w:rsid w:val="00B43F2E"/>
    <w:rsid w:val="00B61C56"/>
    <w:rsid w:val="00B82903"/>
    <w:rsid w:val="00B85DAC"/>
    <w:rsid w:val="00B86091"/>
    <w:rsid w:val="00B87584"/>
    <w:rsid w:val="00B9001C"/>
    <w:rsid w:val="00BB16EB"/>
    <w:rsid w:val="00BB68F9"/>
    <w:rsid w:val="00BB7397"/>
    <w:rsid w:val="00BB7F3E"/>
    <w:rsid w:val="00BC44B2"/>
    <w:rsid w:val="00BC6A91"/>
    <w:rsid w:val="00BD58AB"/>
    <w:rsid w:val="00BE4C25"/>
    <w:rsid w:val="00BE64A0"/>
    <w:rsid w:val="00BE6881"/>
    <w:rsid w:val="00BF63BC"/>
    <w:rsid w:val="00C01CD2"/>
    <w:rsid w:val="00C02F45"/>
    <w:rsid w:val="00C0622B"/>
    <w:rsid w:val="00C16EF4"/>
    <w:rsid w:val="00C2062A"/>
    <w:rsid w:val="00C22C5D"/>
    <w:rsid w:val="00C3103B"/>
    <w:rsid w:val="00C3255B"/>
    <w:rsid w:val="00C3440A"/>
    <w:rsid w:val="00C370B1"/>
    <w:rsid w:val="00C555AE"/>
    <w:rsid w:val="00C651AE"/>
    <w:rsid w:val="00C669ED"/>
    <w:rsid w:val="00C70CB8"/>
    <w:rsid w:val="00C715D1"/>
    <w:rsid w:val="00C715E7"/>
    <w:rsid w:val="00C71D0E"/>
    <w:rsid w:val="00C72EEF"/>
    <w:rsid w:val="00C80547"/>
    <w:rsid w:val="00C82613"/>
    <w:rsid w:val="00C92650"/>
    <w:rsid w:val="00CA640A"/>
    <w:rsid w:val="00CB4442"/>
    <w:rsid w:val="00CC3445"/>
    <w:rsid w:val="00CC6200"/>
    <w:rsid w:val="00CD09EE"/>
    <w:rsid w:val="00CD7085"/>
    <w:rsid w:val="00CE1FB4"/>
    <w:rsid w:val="00CE2C08"/>
    <w:rsid w:val="00CE30DD"/>
    <w:rsid w:val="00CE5BA8"/>
    <w:rsid w:val="00CF01B3"/>
    <w:rsid w:val="00D002BC"/>
    <w:rsid w:val="00D004F6"/>
    <w:rsid w:val="00D0316B"/>
    <w:rsid w:val="00D0392D"/>
    <w:rsid w:val="00D21B28"/>
    <w:rsid w:val="00D23FE7"/>
    <w:rsid w:val="00D25AD0"/>
    <w:rsid w:val="00D316AA"/>
    <w:rsid w:val="00D4740A"/>
    <w:rsid w:val="00D52154"/>
    <w:rsid w:val="00D66227"/>
    <w:rsid w:val="00D72876"/>
    <w:rsid w:val="00D82560"/>
    <w:rsid w:val="00D84625"/>
    <w:rsid w:val="00D925F7"/>
    <w:rsid w:val="00D96CAA"/>
    <w:rsid w:val="00D97B77"/>
    <w:rsid w:val="00DB33E6"/>
    <w:rsid w:val="00DC20C3"/>
    <w:rsid w:val="00DC5F6F"/>
    <w:rsid w:val="00DD095A"/>
    <w:rsid w:val="00DD240C"/>
    <w:rsid w:val="00DD28F9"/>
    <w:rsid w:val="00DE0F90"/>
    <w:rsid w:val="00DE12F1"/>
    <w:rsid w:val="00DE58FC"/>
    <w:rsid w:val="00DF46A5"/>
    <w:rsid w:val="00E00C40"/>
    <w:rsid w:val="00E0106B"/>
    <w:rsid w:val="00E06756"/>
    <w:rsid w:val="00E076D1"/>
    <w:rsid w:val="00E14BE2"/>
    <w:rsid w:val="00E14EC6"/>
    <w:rsid w:val="00E22A87"/>
    <w:rsid w:val="00E23A1E"/>
    <w:rsid w:val="00E24CB2"/>
    <w:rsid w:val="00E26799"/>
    <w:rsid w:val="00E50A27"/>
    <w:rsid w:val="00E53E79"/>
    <w:rsid w:val="00E56C28"/>
    <w:rsid w:val="00E65613"/>
    <w:rsid w:val="00E71191"/>
    <w:rsid w:val="00E73238"/>
    <w:rsid w:val="00E771E7"/>
    <w:rsid w:val="00EB36B8"/>
    <w:rsid w:val="00EC1B9E"/>
    <w:rsid w:val="00EC3BB0"/>
    <w:rsid w:val="00ED5291"/>
    <w:rsid w:val="00EE2F1E"/>
    <w:rsid w:val="00EE7741"/>
    <w:rsid w:val="00F20C93"/>
    <w:rsid w:val="00F21249"/>
    <w:rsid w:val="00F218BD"/>
    <w:rsid w:val="00F32B23"/>
    <w:rsid w:val="00F33000"/>
    <w:rsid w:val="00F42571"/>
    <w:rsid w:val="00F43439"/>
    <w:rsid w:val="00F532A5"/>
    <w:rsid w:val="00F532D0"/>
    <w:rsid w:val="00F55E99"/>
    <w:rsid w:val="00F570A1"/>
    <w:rsid w:val="00F57212"/>
    <w:rsid w:val="00F672E2"/>
    <w:rsid w:val="00F71209"/>
    <w:rsid w:val="00F816BA"/>
    <w:rsid w:val="00F850AC"/>
    <w:rsid w:val="00FA5C7A"/>
    <w:rsid w:val="00FA726A"/>
    <w:rsid w:val="00FB6666"/>
    <w:rsid w:val="00FC0394"/>
    <w:rsid w:val="00FC3EEF"/>
    <w:rsid w:val="00FE278B"/>
    <w:rsid w:val="00FE306C"/>
    <w:rsid w:val="00FE5204"/>
    <w:rsid w:val="00FE6418"/>
    <w:rsid w:val="00FF421E"/>
    <w:rsid w:val="00FF4ED4"/>
    <w:rsid w:val="00FF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0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00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2002"/>
    <w:pPr>
      <w:tabs>
        <w:tab w:val="center" w:pos="4320"/>
        <w:tab w:val="right" w:pos="8640"/>
      </w:tabs>
    </w:pPr>
    <w:rPr>
      <w:rFonts w:ascii="Times New Roman" w:hAnsi="Times New Roman"/>
    </w:rPr>
  </w:style>
  <w:style w:type="paragraph" w:styleId="BodyTextIndent2">
    <w:name w:val="Body Text Indent 2"/>
    <w:basedOn w:val="Normal"/>
    <w:rsid w:val="00A6248D"/>
    <w:pPr>
      <w:tabs>
        <w:tab w:val="left" w:pos="0"/>
      </w:tabs>
      <w:ind w:left="720" w:hanging="2160"/>
    </w:pPr>
    <w:rPr>
      <w:rFonts w:ascii="Times New Roman" w:hAnsi="Times New Roman"/>
    </w:rPr>
  </w:style>
  <w:style w:type="character" w:styleId="Emphasis">
    <w:name w:val="Emphasis"/>
    <w:qFormat/>
    <w:rsid w:val="00A6248D"/>
    <w:rPr>
      <w:i/>
      <w:iCs/>
    </w:rPr>
  </w:style>
  <w:style w:type="character" w:styleId="PageNumber">
    <w:name w:val="page number"/>
    <w:basedOn w:val="DefaultParagraphFont"/>
    <w:rsid w:val="004E5786"/>
  </w:style>
  <w:style w:type="paragraph" w:styleId="Header">
    <w:name w:val="header"/>
    <w:basedOn w:val="Normal"/>
    <w:rsid w:val="004E5786"/>
    <w:pPr>
      <w:tabs>
        <w:tab w:val="center" w:pos="4320"/>
        <w:tab w:val="right" w:pos="8640"/>
      </w:tabs>
    </w:pPr>
  </w:style>
  <w:style w:type="character" w:styleId="Strong">
    <w:name w:val="Strong"/>
    <w:uiPriority w:val="22"/>
    <w:qFormat/>
    <w:rsid w:val="008A166C"/>
    <w:rPr>
      <w:b/>
      <w:bCs/>
    </w:rPr>
  </w:style>
  <w:style w:type="character" w:customStyle="1" w:styleId="FooterChar">
    <w:name w:val="Footer Char"/>
    <w:link w:val="Footer"/>
    <w:uiPriority w:val="99"/>
    <w:rsid w:val="00EB36B8"/>
    <w:rPr>
      <w:sz w:val="24"/>
      <w:szCs w:val="24"/>
    </w:rPr>
  </w:style>
  <w:style w:type="paragraph" w:styleId="BalloonText">
    <w:name w:val="Balloon Text"/>
    <w:basedOn w:val="Normal"/>
    <w:link w:val="BalloonTextChar"/>
    <w:rsid w:val="00646787"/>
    <w:rPr>
      <w:rFonts w:ascii="Tahoma" w:hAnsi="Tahoma" w:cs="Tahoma"/>
      <w:sz w:val="16"/>
      <w:szCs w:val="16"/>
    </w:rPr>
  </w:style>
  <w:style w:type="character" w:customStyle="1" w:styleId="BalloonTextChar">
    <w:name w:val="Balloon Text Char"/>
    <w:link w:val="BalloonText"/>
    <w:rsid w:val="00646787"/>
    <w:rPr>
      <w:rFonts w:ascii="Tahoma" w:hAnsi="Tahoma" w:cs="Tahoma"/>
      <w:sz w:val="16"/>
      <w:szCs w:val="16"/>
    </w:rPr>
  </w:style>
  <w:style w:type="paragraph" w:customStyle="1" w:styleId="content2">
    <w:name w:val="content2"/>
    <w:basedOn w:val="Normal"/>
    <w:rsid w:val="00032047"/>
    <w:pPr>
      <w:spacing w:before="48" w:line="312" w:lineRule="atLeast"/>
      <w:ind w:left="2160"/>
    </w:pPr>
    <w:rPr>
      <w:rFonts w:cs="Arial"/>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00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2002"/>
    <w:pPr>
      <w:tabs>
        <w:tab w:val="center" w:pos="4320"/>
        <w:tab w:val="right" w:pos="8640"/>
      </w:tabs>
    </w:pPr>
    <w:rPr>
      <w:rFonts w:ascii="Times New Roman" w:hAnsi="Times New Roman"/>
    </w:rPr>
  </w:style>
  <w:style w:type="paragraph" w:styleId="BodyTextIndent2">
    <w:name w:val="Body Text Indent 2"/>
    <w:basedOn w:val="Normal"/>
    <w:rsid w:val="00A6248D"/>
    <w:pPr>
      <w:tabs>
        <w:tab w:val="left" w:pos="0"/>
      </w:tabs>
      <w:ind w:left="720" w:hanging="2160"/>
    </w:pPr>
    <w:rPr>
      <w:rFonts w:ascii="Times New Roman" w:hAnsi="Times New Roman"/>
    </w:rPr>
  </w:style>
  <w:style w:type="character" w:styleId="Emphasis">
    <w:name w:val="Emphasis"/>
    <w:qFormat/>
    <w:rsid w:val="00A6248D"/>
    <w:rPr>
      <w:i/>
      <w:iCs/>
    </w:rPr>
  </w:style>
  <w:style w:type="character" w:styleId="PageNumber">
    <w:name w:val="page number"/>
    <w:basedOn w:val="DefaultParagraphFont"/>
    <w:rsid w:val="004E5786"/>
  </w:style>
  <w:style w:type="paragraph" w:styleId="Header">
    <w:name w:val="header"/>
    <w:basedOn w:val="Normal"/>
    <w:rsid w:val="004E5786"/>
    <w:pPr>
      <w:tabs>
        <w:tab w:val="center" w:pos="4320"/>
        <w:tab w:val="right" w:pos="8640"/>
      </w:tabs>
    </w:pPr>
  </w:style>
  <w:style w:type="character" w:styleId="Strong">
    <w:name w:val="Strong"/>
    <w:uiPriority w:val="22"/>
    <w:qFormat/>
    <w:rsid w:val="008A166C"/>
    <w:rPr>
      <w:b/>
      <w:bCs/>
    </w:rPr>
  </w:style>
  <w:style w:type="character" w:customStyle="1" w:styleId="FooterChar">
    <w:name w:val="Footer Char"/>
    <w:link w:val="Footer"/>
    <w:uiPriority w:val="99"/>
    <w:rsid w:val="00EB36B8"/>
    <w:rPr>
      <w:sz w:val="24"/>
      <w:szCs w:val="24"/>
    </w:rPr>
  </w:style>
  <w:style w:type="paragraph" w:styleId="BalloonText">
    <w:name w:val="Balloon Text"/>
    <w:basedOn w:val="Normal"/>
    <w:link w:val="BalloonTextChar"/>
    <w:rsid w:val="00646787"/>
    <w:rPr>
      <w:rFonts w:ascii="Tahoma" w:hAnsi="Tahoma" w:cs="Tahoma"/>
      <w:sz w:val="16"/>
      <w:szCs w:val="16"/>
    </w:rPr>
  </w:style>
  <w:style w:type="character" w:customStyle="1" w:styleId="BalloonTextChar">
    <w:name w:val="Balloon Text Char"/>
    <w:link w:val="BalloonText"/>
    <w:rsid w:val="00646787"/>
    <w:rPr>
      <w:rFonts w:ascii="Tahoma" w:hAnsi="Tahoma" w:cs="Tahoma"/>
      <w:sz w:val="16"/>
      <w:szCs w:val="16"/>
    </w:rPr>
  </w:style>
  <w:style w:type="paragraph" w:customStyle="1" w:styleId="content2">
    <w:name w:val="content2"/>
    <w:basedOn w:val="Normal"/>
    <w:rsid w:val="00032047"/>
    <w:pPr>
      <w:spacing w:before="48" w:line="312" w:lineRule="atLeast"/>
      <w:ind w:left="2160"/>
    </w:pPr>
    <w:rPr>
      <w:rFonts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08794">
      <w:bodyDiv w:val="1"/>
      <w:marLeft w:val="0"/>
      <w:marRight w:val="0"/>
      <w:marTop w:val="0"/>
      <w:marBottom w:val="0"/>
      <w:divBdr>
        <w:top w:val="none" w:sz="0" w:space="0" w:color="auto"/>
        <w:left w:val="none" w:sz="0" w:space="0" w:color="auto"/>
        <w:bottom w:val="none" w:sz="0" w:space="0" w:color="auto"/>
        <w:right w:val="none" w:sz="0" w:space="0" w:color="auto"/>
      </w:divBdr>
      <w:divsChild>
        <w:div w:id="458837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2844</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EXHIBIT A</vt:lpstr>
    </vt:vector>
  </TitlesOfParts>
  <Company>Napa County</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creator>Napa County</dc:creator>
  <cp:lastModifiedBy>Balcher, Wyntress</cp:lastModifiedBy>
  <cp:revision>6</cp:revision>
  <cp:lastPrinted>2014-06-24T17:45:00Z</cp:lastPrinted>
  <dcterms:created xsi:type="dcterms:W3CDTF">2014-06-24T17:53:00Z</dcterms:created>
  <dcterms:modified xsi:type="dcterms:W3CDTF">2014-06-24T22:54:00Z</dcterms:modified>
</cp:coreProperties>
</file>