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B8D" w:rsidRPr="00CB7143" w:rsidRDefault="00357B8D" w:rsidP="00357B8D">
      <w:pPr>
        <w:jc w:val="center"/>
        <w:rPr>
          <w:rFonts w:ascii="Arial Narrow" w:hAnsi="Arial Narrow" w:cs="Arial"/>
          <w:b/>
          <w:sz w:val="22"/>
          <w:szCs w:val="22"/>
        </w:rPr>
      </w:pPr>
      <w:r w:rsidRPr="00CB7143">
        <w:rPr>
          <w:rFonts w:ascii="Arial Narrow" w:hAnsi="Arial Narrow"/>
          <w:b/>
          <w:sz w:val="22"/>
          <w:szCs w:val="22"/>
        </w:rPr>
        <w:t xml:space="preserve">EXHIBIT </w:t>
      </w:r>
      <w:r w:rsidR="00EE1F8E" w:rsidRPr="00CB7143">
        <w:rPr>
          <w:rFonts w:ascii="Arial Narrow" w:hAnsi="Arial Narrow"/>
          <w:b/>
          <w:sz w:val="22"/>
          <w:szCs w:val="22"/>
        </w:rPr>
        <w:t>B</w:t>
      </w:r>
    </w:p>
    <w:p w:rsidR="00C26A0E" w:rsidRPr="00CB7143" w:rsidRDefault="00C26A0E" w:rsidP="00357B8D">
      <w:pPr>
        <w:jc w:val="center"/>
        <w:rPr>
          <w:rFonts w:ascii="Arial Narrow" w:hAnsi="Arial Narrow"/>
          <w:b/>
          <w:sz w:val="22"/>
          <w:szCs w:val="22"/>
        </w:rPr>
      </w:pPr>
      <w:r w:rsidRPr="00CB7143">
        <w:rPr>
          <w:rFonts w:ascii="Arial Narrow" w:hAnsi="Arial Narrow"/>
          <w:b/>
          <w:sz w:val="22"/>
          <w:szCs w:val="22"/>
        </w:rPr>
        <w:t>FINDINGS</w:t>
      </w:r>
    </w:p>
    <w:p w:rsidR="00C26A0E" w:rsidRPr="00CB7143" w:rsidRDefault="00C26A0E" w:rsidP="00C26A0E">
      <w:pPr>
        <w:jc w:val="center"/>
        <w:rPr>
          <w:rFonts w:ascii="Arial Narrow" w:hAnsi="Arial Narrow" w:cs="Arial"/>
          <w:b/>
          <w:sz w:val="22"/>
          <w:szCs w:val="22"/>
        </w:rPr>
      </w:pPr>
    </w:p>
    <w:p w:rsidR="00C26A0E" w:rsidRPr="00CB7143" w:rsidRDefault="00A32F7E" w:rsidP="00C26A0E">
      <w:pPr>
        <w:jc w:val="center"/>
        <w:rPr>
          <w:rFonts w:ascii="Arial Narrow" w:hAnsi="Arial Narrow" w:cs="Arial"/>
          <w:b/>
          <w:sz w:val="22"/>
          <w:szCs w:val="22"/>
        </w:rPr>
      </w:pPr>
      <w:r>
        <w:rPr>
          <w:rFonts w:ascii="Arial Narrow" w:hAnsi="Arial Narrow" w:cs="Arial"/>
          <w:b/>
          <w:sz w:val="22"/>
          <w:szCs w:val="22"/>
        </w:rPr>
        <w:t>ROBERT FOLEY VINEYARDS</w:t>
      </w:r>
      <w:r w:rsidR="00182D50">
        <w:rPr>
          <w:rFonts w:ascii="Arial Narrow" w:hAnsi="Arial Narrow" w:cs="Arial"/>
          <w:b/>
          <w:sz w:val="22"/>
          <w:szCs w:val="22"/>
        </w:rPr>
        <w:t xml:space="preserve"> WINERY</w:t>
      </w:r>
    </w:p>
    <w:p w:rsidR="00C26A0E" w:rsidRPr="00CB7143" w:rsidRDefault="00A32F7E" w:rsidP="00C26A0E">
      <w:pPr>
        <w:jc w:val="center"/>
        <w:rPr>
          <w:rFonts w:ascii="Arial Narrow" w:hAnsi="Arial Narrow" w:cs="Arial"/>
          <w:b/>
          <w:sz w:val="22"/>
          <w:szCs w:val="22"/>
        </w:rPr>
      </w:pPr>
      <w:r>
        <w:rPr>
          <w:rFonts w:ascii="Arial Narrow" w:hAnsi="Arial Narrow" w:cs="Arial"/>
          <w:b/>
          <w:sz w:val="22"/>
          <w:szCs w:val="22"/>
        </w:rPr>
        <w:t>USE PERMIT #P14</w:t>
      </w:r>
      <w:r w:rsidR="00C26A0E" w:rsidRPr="00CB7143">
        <w:rPr>
          <w:rFonts w:ascii="Arial Narrow" w:hAnsi="Arial Narrow" w:cs="Arial"/>
          <w:b/>
          <w:sz w:val="22"/>
          <w:szCs w:val="22"/>
        </w:rPr>
        <w:t>-00</w:t>
      </w:r>
      <w:r>
        <w:rPr>
          <w:rFonts w:ascii="Arial Narrow" w:hAnsi="Arial Narrow" w:cs="Arial"/>
          <w:b/>
          <w:sz w:val="22"/>
          <w:szCs w:val="22"/>
        </w:rPr>
        <w:t>085</w:t>
      </w:r>
      <w:r w:rsidR="00C26A0E" w:rsidRPr="00CB7143">
        <w:rPr>
          <w:rFonts w:ascii="Arial Narrow" w:hAnsi="Arial Narrow" w:cs="Arial"/>
          <w:b/>
          <w:sz w:val="22"/>
          <w:szCs w:val="22"/>
        </w:rPr>
        <w:t xml:space="preserve">-MOD </w:t>
      </w:r>
    </w:p>
    <w:p w:rsidR="00C26A0E" w:rsidRPr="00CB7143" w:rsidRDefault="00A32F7E" w:rsidP="00C26A0E">
      <w:pPr>
        <w:jc w:val="center"/>
        <w:rPr>
          <w:rFonts w:ascii="Arial Narrow" w:hAnsi="Arial Narrow" w:cs="Arial"/>
          <w:b/>
          <w:sz w:val="22"/>
          <w:szCs w:val="22"/>
        </w:rPr>
      </w:pPr>
      <w:r>
        <w:rPr>
          <w:rFonts w:ascii="Arial Narrow" w:hAnsi="Arial Narrow" w:cs="Arial"/>
          <w:b/>
          <w:sz w:val="22"/>
          <w:szCs w:val="22"/>
        </w:rPr>
        <w:t>1300 SUMMIT LAKE DRIVE</w:t>
      </w:r>
      <w:r w:rsidR="00C26A0E" w:rsidRPr="00CB7143">
        <w:rPr>
          <w:rFonts w:ascii="Arial Narrow" w:hAnsi="Arial Narrow" w:cs="Arial"/>
          <w:b/>
          <w:sz w:val="22"/>
          <w:szCs w:val="22"/>
        </w:rPr>
        <w:t>, CALIFORNIA</w:t>
      </w:r>
    </w:p>
    <w:p w:rsidR="00C26A0E" w:rsidRPr="00CB7143" w:rsidRDefault="00C26A0E" w:rsidP="00C26A0E">
      <w:pPr>
        <w:jc w:val="center"/>
        <w:rPr>
          <w:rFonts w:ascii="Arial Narrow" w:hAnsi="Arial Narrow" w:cs="Arial"/>
          <w:b/>
          <w:sz w:val="22"/>
          <w:szCs w:val="22"/>
        </w:rPr>
      </w:pPr>
      <w:r w:rsidRPr="00CB7143">
        <w:rPr>
          <w:rFonts w:ascii="Arial Narrow" w:hAnsi="Arial Narrow" w:cs="Arial"/>
          <w:b/>
          <w:sz w:val="22"/>
          <w:szCs w:val="22"/>
        </w:rPr>
        <w:t xml:space="preserve">APN </w:t>
      </w:r>
      <w:r w:rsidR="00182D50">
        <w:rPr>
          <w:rFonts w:ascii="Arial Narrow" w:hAnsi="Arial Narrow" w:cs="Arial"/>
          <w:b/>
          <w:sz w:val="22"/>
          <w:szCs w:val="22"/>
        </w:rPr>
        <w:t>018-</w:t>
      </w:r>
      <w:r w:rsidR="00A32F7E">
        <w:rPr>
          <w:rFonts w:ascii="Arial Narrow" w:hAnsi="Arial Narrow" w:cs="Arial"/>
          <w:b/>
          <w:sz w:val="22"/>
          <w:szCs w:val="22"/>
        </w:rPr>
        <w:t>230-004</w:t>
      </w:r>
    </w:p>
    <w:p w:rsidR="00C26A0E" w:rsidRPr="00CB7143" w:rsidRDefault="00C26A0E" w:rsidP="00C26A0E">
      <w:pPr>
        <w:jc w:val="center"/>
        <w:rPr>
          <w:rFonts w:ascii="Arial Narrow" w:hAnsi="Arial Narrow"/>
          <w:sz w:val="22"/>
          <w:szCs w:val="22"/>
        </w:rPr>
      </w:pPr>
    </w:p>
    <w:p w:rsidR="00C26A0E" w:rsidRPr="00CB7143" w:rsidRDefault="00C26A0E" w:rsidP="00C26A0E">
      <w:pPr>
        <w:jc w:val="both"/>
        <w:rPr>
          <w:rFonts w:ascii="Arial Narrow" w:hAnsi="Arial Narrow" w:cs="Arial"/>
          <w:b/>
          <w:sz w:val="22"/>
          <w:szCs w:val="22"/>
        </w:rPr>
      </w:pPr>
      <w:r w:rsidRPr="00CB7143">
        <w:rPr>
          <w:rFonts w:ascii="Arial Narrow" w:hAnsi="Arial Narrow" w:cs="Arial"/>
          <w:b/>
          <w:sz w:val="22"/>
          <w:szCs w:val="22"/>
          <w:u w:val="single"/>
        </w:rPr>
        <w:t>ENVIRONMENTAL DETERMINATION</w:t>
      </w:r>
      <w:r w:rsidRPr="00CB7143">
        <w:rPr>
          <w:rFonts w:ascii="Arial Narrow" w:hAnsi="Arial Narrow" w:cs="Arial"/>
          <w:b/>
          <w:sz w:val="22"/>
          <w:szCs w:val="22"/>
        </w:rPr>
        <w:t>:</w:t>
      </w:r>
    </w:p>
    <w:p w:rsidR="00C26A0E" w:rsidRPr="00CB7143" w:rsidRDefault="00C26A0E" w:rsidP="00C26A0E">
      <w:pPr>
        <w:jc w:val="both"/>
        <w:rPr>
          <w:rFonts w:ascii="Arial Narrow" w:hAnsi="Arial Narrow" w:cs="Arial"/>
          <w:sz w:val="22"/>
          <w:szCs w:val="22"/>
        </w:rPr>
      </w:pPr>
    </w:p>
    <w:p w:rsidR="00CB7143" w:rsidRPr="00CB7143" w:rsidRDefault="00C26A0E" w:rsidP="00CB7143">
      <w:pPr>
        <w:jc w:val="both"/>
        <w:rPr>
          <w:rFonts w:ascii="Arial Narrow" w:hAnsi="Arial Narrow"/>
          <w:sz w:val="22"/>
          <w:szCs w:val="22"/>
        </w:rPr>
      </w:pPr>
      <w:r w:rsidRPr="00CB7143">
        <w:rPr>
          <w:rFonts w:ascii="Arial Narrow" w:hAnsi="Arial Narrow"/>
          <w:sz w:val="22"/>
          <w:szCs w:val="22"/>
        </w:rPr>
        <w:t xml:space="preserve">The Planning Commission (Commission) has received and reviewed </w:t>
      </w:r>
      <w:r w:rsidR="00CB7143" w:rsidRPr="00CB7143">
        <w:rPr>
          <w:rFonts w:ascii="Arial Narrow" w:hAnsi="Arial Narrow"/>
          <w:sz w:val="22"/>
          <w:szCs w:val="22"/>
        </w:rPr>
        <w:t>the proposed Negative Declaration pursuant to the provisions of the California Environmental Quality Act (CEQA) and of Napa County’s Local Procedures for Implementing CEQA, and makes the following findings. That:</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Prior to taking action on the Negative Declaration and the proposed project, the Commission read and considered said Declaration.</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tabs>
          <w:tab w:val="left" w:pos="360"/>
        </w:tabs>
        <w:ind w:hanging="720"/>
        <w:jc w:val="both"/>
        <w:rPr>
          <w:rFonts w:ascii="Arial Narrow" w:hAnsi="Arial Narrow"/>
          <w:sz w:val="22"/>
          <w:szCs w:val="22"/>
        </w:rPr>
      </w:pPr>
      <w:r w:rsidRPr="00AD45EA">
        <w:rPr>
          <w:rFonts w:ascii="Arial Narrow" w:hAnsi="Arial Narrow"/>
          <w:sz w:val="22"/>
          <w:szCs w:val="22"/>
        </w:rPr>
        <w:t>The Negative Declaration is based on independent judgment exercised by the Commission.</w:t>
      </w:r>
    </w:p>
    <w:p w:rsidR="00CB7143" w:rsidRPr="00CB7143" w:rsidRDefault="00CB7143" w:rsidP="00CB7143">
      <w:pPr>
        <w:jc w:val="both"/>
        <w:rPr>
          <w:rFonts w:ascii="Arial Narrow" w:hAnsi="Arial Narrow"/>
          <w:sz w:val="22"/>
          <w:szCs w:val="22"/>
        </w:rPr>
      </w:pPr>
    </w:p>
    <w:p w:rsidR="00CB7143" w:rsidRPr="00AD45EA" w:rsidRDefault="00AD45EA" w:rsidP="00AD45EA">
      <w:pPr>
        <w:pStyle w:val="ListParagraph"/>
        <w:numPr>
          <w:ilvl w:val="0"/>
          <w:numId w:val="6"/>
        </w:numPr>
        <w:tabs>
          <w:tab w:val="left" w:pos="180"/>
        </w:tabs>
        <w:ind w:left="360"/>
        <w:jc w:val="both"/>
        <w:rPr>
          <w:rFonts w:ascii="Arial Narrow" w:hAnsi="Arial Narrow"/>
          <w:sz w:val="22"/>
          <w:szCs w:val="22"/>
        </w:rPr>
      </w:pPr>
      <w:r>
        <w:rPr>
          <w:rFonts w:ascii="Arial Narrow" w:hAnsi="Arial Narrow"/>
          <w:sz w:val="22"/>
          <w:szCs w:val="22"/>
        </w:rPr>
        <w:t xml:space="preserve">    </w:t>
      </w:r>
      <w:r w:rsidR="00CB7143" w:rsidRPr="00AD45EA">
        <w:rPr>
          <w:rFonts w:ascii="Arial Narrow" w:hAnsi="Arial Narrow"/>
          <w:sz w:val="22"/>
          <w:szCs w:val="22"/>
        </w:rPr>
        <w:t>The Negative Declaration was prepared and considered in accordance with the requirements of the California Environmental Quality Act.</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Considering the record as whole, there is no substantial evidence that the project will have a significant effect on the environment.</w:t>
      </w:r>
    </w:p>
    <w:p w:rsidR="00CB7143" w:rsidRPr="00CB7143" w:rsidRDefault="00CB7143" w:rsidP="00CB7143">
      <w:pPr>
        <w:jc w:val="both"/>
        <w:rPr>
          <w:rFonts w:ascii="Arial Narrow" w:hAnsi="Arial Narrow"/>
          <w:sz w:val="22"/>
          <w:szCs w:val="22"/>
        </w:rPr>
      </w:pPr>
    </w:p>
    <w:p w:rsidR="00CB7143" w:rsidRPr="00AD45EA" w:rsidRDefault="00CB7143" w:rsidP="00AD45EA">
      <w:pPr>
        <w:pStyle w:val="ListParagraph"/>
        <w:numPr>
          <w:ilvl w:val="0"/>
          <w:numId w:val="6"/>
        </w:numPr>
        <w:ind w:left="360"/>
        <w:jc w:val="both"/>
        <w:rPr>
          <w:rFonts w:ascii="Arial Narrow" w:hAnsi="Arial Narrow"/>
          <w:sz w:val="22"/>
          <w:szCs w:val="22"/>
        </w:rPr>
      </w:pPr>
      <w:r w:rsidRPr="00AD45EA">
        <w:rPr>
          <w:rFonts w:ascii="Arial Narrow" w:hAnsi="Arial Narrow"/>
          <w:sz w:val="22"/>
          <w:szCs w:val="22"/>
        </w:rPr>
        <w:t>The Secretary of the Commission is the custodian of the records of the proceedings on which this decision is based. Records are located at the Napa County Planning, Building, and Environmental Services Department, 1195 Third Street, Second Floor, Napa, Calif.</w:t>
      </w:r>
    </w:p>
    <w:p w:rsidR="00357B8D" w:rsidRPr="00CB7143" w:rsidRDefault="00357B8D" w:rsidP="00C26A0E">
      <w:pPr>
        <w:jc w:val="both"/>
        <w:rPr>
          <w:rFonts w:ascii="Arial Narrow" w:hAnsi="Arial Narrow" w:cs="Arial"/>
          <w:sz w:val="22"/>
          <w:szCs w:val="22"/>
        </w:rPr>
      </w:pPr>
    </w:p>
    <w:p w:rsidR="00C26A0E" w:rsidRPr="00CB7143" w:rsidRDefault="00C26A0E" w:rsidP="00C26A0E">
      <w:pPr>
        <w:jc w:val="both"/>
        <w:rPr>
          <w:rFonts w:ascii="Arial Narrow" w:hAnsi="Arial Narrow" w:cs="Arial"/>
          <w:b/>
          <w:sz w:val="22"/>
          <w:szCs w:val="22"/>
        </w:rPr>
      </w:pPr>
      <w:r w:rsidRPr="00CB7143">
        <w:rPr>
          <w:rFonts w:ascii="Arial Narrow" w:hAnsi="Arial Narrow" w:cs="Arial"/>
          <w:b/>
          <w:sz w:val="22"/>
          <w:szCs w:val="22"/>
          <w:u w:val="single"/>
        </w:rPr>
        <w:t>USE PERMIT</w:t>
      </w:r>
      <w:r w:rsidRPr="00CB7143">
        <w:rPr>
          <w:rFonts w:ascii="Arial Narrow" w:hAnsi="Arial Narrow" w:cs="Arial"/>
          <w:b/>
          <w:sz w:val="22"/>
          <w:szCs w:val="22"/>
        </w:rPr>
        <w:t>:</w:t>
      </w:r>
    </w:p>
    <w:p w:rsidR="00C26A0E" w:rsidRPr="00CB7143" w:rsidRDefault="00C26A0E" w:rsidP="00C26A0E">
      <w:pPr>
        <w:jc w:val="both"/>
        <w:rPr>
          <w:rFonts w:ascii="Arial Narrow" w:hAnsi="Arial Narrow" w:cs="Arial"/>
          <w:b/>
          <w:sz w:val="22"/>
          <w:szCs w:val="22"/>
          <w:u w:val="single"/>
        </w:rPr>
      </w:pPr>
    </w:p>
    <w:p w:rsidR="00C26A0E" w:rsidRPr="00CB7143" w:rsidRDefault="00C26A0E" w:rsidP="00C26A0E">
      <w:pPr>
        <w:jc w:val="both"/>
        <w:rPr>
          <w:rFonts w:ascii="Arial Narrow" w:hAnsi="Arial Narrow"/>
          <w:sz w:val="22"/>
          <w:szCs w:val="22"/>
        </w:rPr>
      </w:pPr>
      <w:r w:rsidRPr="00CB7143">
        <w:rPr>
          <w:rFonts w:ascii="Arial Narrow" w:hAnsi="Arial Narrow"/>
          <w:sz w:val="22"/>
          <w:szCs w:val="22"/>
        </w:rPr>
        <w:t xml:space="preserve">The Commission has reviewed the use permit request in accordance with the requirements of the Napa County Code Section 18.124.070 and </w:t>
      </w:r>
      <w:r w:rsidR="0022016E">
        <w:rPr>
          <w:rFonts w:ascii="Arial Narrow" w:hAnsi="Arial Narrow"/>
          <w:sz w:val="22"/>
          <w:szCs w:val="22"/>
        </w:rPr>
        <w:t>finds that</w:t>
      </w:r>
      <w:r w:rsidRPr="00CB7143">
        <w:rPr>
          <w:rFonts w:ascii="Arial Narrow" w:hAnsi="Arial Narrow"/>
          <w:sz w:val="22"/>
          <w:szCs w:val="22"/>
        </w:rPr>
        <w:t>:</w:t>
      </w:r>
    </w:p>
    <w:p w:rsidR="00C26A0E" w:rsidRPr="00CB7143" w:rsidRDefault="00C26A0E" w:rsidP="00C26A0E">
      <w:pPr>
        <w:jc w:val="both"/>
        <w:rPr>
          <w:rFonts w:ascii="Arial Narrow" w:hAnsi="Arial Narrow"/>
          <w:sz w:val="22"/>
          <w:szCs w:val="22"/>
        </w:rPr>
      </w:pPr>
    </w:p>
    <w:p w:rsidR="00C26A0E" w:rsidRPr="00AD45EA" w:rsidRDefault="00C26A0E" w:rsidP="00AD45EA">
      <w:pPr>
        <w:pStyle w:val="ListParagraph"/>
        <w:numPr>
          <w:ilvl w:val="0"/>
          <w:numId w:val="6"/>
        </w:numPr>
        <w:tabs>
          <w:tab w:val="left" w:pos="360"/>
        </w:tabs>
        <w:ind w:hanging="720"/>
        <w:jc w:val="both"/>
        <w:rPr>
          <w:rFonts w:ascii="Arial Narrow" w:hAnsi="Arial Narrow" w:cs="Arial"/>
          <w:sz w:val="22"/>
          <w:szCs w:val="22"/>
        </w:rPr>
      </w:pPr>
      <w:r w:rsidRPr="00AD45EA">
        <w:rPr>
          <w:rFonts w:ascii="Arial Narrow" w:hAnsi="Arial Narrow" w:cs="Arial"/>
          <w:sz w:val="22"/>
          <w:szCs w:val="22"/>
        </w:rPr>
        <w:t>The Commission has the power to issue a use permit under the zoning regulations in effect as applied to the property.</w:t>
      </w:r>
    </w:p>
    <w:p w:rsidR="00C26A0E" w:rsidRPr="00CB7143" w:rsidRDefault="00C26A0E" w:rsidP="00C26A0E">
      <w:pPr>
        <w:ind w:left="360" w:hanging="360"/>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u w:val="single"/>
        </w:rPr>
        <w:t>Analysis</w:t>
      </w:r>
      <w:r w:rsidRPr="00CB7143">
        <w:rPr>
          <w:rFonts w:ascii="Arial Narrow" w:hAnsi="Arial Narrow" w:cs="Arial"/>
          <w:sz w:val="22"/>
          <w:szCs w:val="22"/>
        </w:rPr>
        <w:t xml:space="preserve">: The project is consistent with AW (Agricultural Watershed) zoning district regulations.  A winery (as defined in Napa County Code Section 18.08.640) and uses in connection with a winery (see Napa County Code Section 18.20.030) are permitted in an AW zoned district with an approved use permit. </w:t>
      </w:r>
      <w:r w:rsidRPr="00CB7143">
        <w:rPr>
          <w:rFonts w:ascii="Arial Narrow" w:hAnsi="Arial Narrow"/>
          <w:sz w:val="22"/>
          <w:szCs w:val="22"/>
        </w:rPr>
        <w:t>The project complies with the requirements of the Winery Definition Ordinance (Ord. No. 947, 1990) and the remainder of the Napa County Zoning Ordinance (Title 18, Napa County Code) as applicable.</w:t>
      </w:r>
    </w:p>
    <w:p w:rsidR="00A22B9C" w:rsidRPr="00CB7143" w:rsidRDefault="00A22B9C" w:rsidP="00C26A0E">
      <w:pPr>
        <w:ind w:left="360"/>
        <w:jc w:val="both"/>
        <w:rPr>
          <w:rFonts w:ascii="Arial Narrow" w:hAnsi="Arial Narrow" w:cs="Arial"/>
          <w:sz w:val="22"/>
          <w:szCs w:val="22"/>
        </w:rPr>
      </w:pPr>
    </w:p>
    <w:p w:rsidR="00C26A0E" w:rsidRPr="00AD45EA" w:rsidRDefault="00C26A0E" w:rsidP="00AD45EA">
      <w:pPr>
        <w:pStyle w:val="ListParagraph"/>
        <w:numPr>
          <w:ilvl w:val="0"/>
          <w:numId w:val="6"/>
        </w:numPr>
        <w:ind w:left="360"/>
        <w:jc w:val="both"/>
        <w:rPr>
          <w:rFonts w:ascii="Arial Narrow" w:hAnsi="Arial Narrow" w:cs="Arial"/>
          <w:sz w:val="22"/>
          <w:szCs w:val="22"/>
        </w:rPr>
      </w:pPr>
      <w:r w:rsidRPr="00AD45EA">
        <w:rPr>
          <w:rFonts w:ascii="Arial Narrow" w:hAnsi="Arial Narrow" w:cs="Arial"/>
          <w:sz w:val="22"/>
          <w:szCs w:val="22"/>
        </w:rPr>
        <w:t>The procedural requirements for a use permit set forth in Chapter 18.124 of the Napa County Code (Use Permits) have been met.</w:t>
      </w:r>
    </w:p>
    <w:p w:rsidR="00C26A0E" w:rsidRPr="00CB7143" w:rsidRDefault="00C26A0E" w:rsidP="00C26A0E">
      <w:pPr>
        <w:ind w:left="360" w:hanging="360"/>
        <w:jc w:val="both"/>
        <w:rPr>
          <w:rFonts w:ascii="Arial Narrow" w:hAnsi="Arial Narrow" w:cs="Arial"/>
          <w:sz w:val="22"/>
          <w:szCs w:val="22"/>
        </w:rPr>
      </w:pPr>
    </w:p>
    <w:p w:rsidR="00C26A0E" w:rsidRDefault="00C26A0E" w:rsidP="00C26A0E">
      <w:pPr>
        <w:ind w:left="360"/>
        <w:jc w:val="both"/>
        <w:rPr>
          <w:rFonts w:ascii="Arial Narrow" w:hAnsi="Arial Narrow"/>
          <w:sz w:val="22"/>
          <w:szCs w:val="22"/>
        </w:rPr>
      </w:pPr>
      <w:r w:rsidRPr="00CB7143">
        <w:rPr>
          <w:rFonts w:ascii="Arial Narrow" w:hAnsi="Arial Narrow" w:cs="Arial"/>
          <w:sz w:val="22"/>
          <w:szCs w:val="22"/>
          <w:u w:val="single"/>
        </w:rPr>
        <w:t>Analysis</w:t>
      </w:r>
      <w:r w:rsidRPr="00CB7143">
        <w:rPr>
          <w:rFonts w:ascii="Arial Narrow" w:hAnsi="Arial Narrow" w:cs="Arial"/>
          <w:sz w:val="22"/>
          <w:szCs w:val="22"/>
        </w:rPr>
        <w:t xml:space="preserve">: The use permit application has been filed, noticed and public hearing requirements have been met. </w:t>
      </w:r>
      <w:r w:rsidRPr="00CB7143">
        <w:rPr>
          <w:rFonts w:ascii="Arial Narrow" w:hAnsi="Arial Narrow"/>
          <w:sz w:val="22"/>
          <w:szCs w:val="22"/>
        </w:rPr>
        <w:t xml:space="preserve">The hearing notice was posted on </w:t>
      </w:r>
      <w:r w:rsidR="00A32F7E">
        <w:rPr>
          <w:rFonts w:ascii="Arial Narrow" w:hAnsi="Arial Narrow"/>
          <w:sz w:val="22"/>
          <w:szCs w:val="22"/>
        </w:rPr>
        <w:t xml:space="preserve">October </w:t>
      </w:r>
      <w:r w:rsidR="00BE2272">
        <w:rPr>
          <w:rFonts w:ascii="Arial Narrow" w:hAnsi="Arial Narrow"/>
          <w:sz w:val="22"/>
          <w:szCs w:val="22"/>
        </w:rPr>
        <w:t>29</w:t>
      </w:r>
      <w:r w:rsidRPr="00CB7143">
        <w:rPr>
          <w:rFonts w:ascii="Arial Narrow" w:hAnsi="Arial Narrow"/>
          <w:sz w:val="22"/>
          <w:szCs w:val="22"/>
        </w:rPr>
        <w:t>,</w:t>
      </w:r>
      <w:r w:rsidR="00182D50">
        <w:rPr>
          <w:rFonts w:ascii="Arial Narrow" w:hAnsi="Arial Narrow"/>
          <w:sz w:val="22"/>
          <w:szCs w:val="22"/>
        </w:rPr>
        <w:t xml:space="preserve"> 2014</w:t>
      </w:r>
      <w:r w:rsidRPr="00CB7143">
        <w:rPr>
          <w:rFonts w:ascii="Arial Narrow" w:hAnsi="Arial Narrow"/>
          <w:sz w:val="22"/>
          <w:szCs w:val="22"/>
        </w:rPr>
        <w:t xml:space="preserve"> and copies were forwa</w:t>
      </w:r>
      <w:r w:rsidR="00A32F7E">
        <w:rPr>
          <w:rFonts w:ascii="Arial Narrow" w:hAnsi="Arial Narrow"/>
          <w:sz w:val="22"/>
          <w:szCs w:val="22"/>
        </w:rPr>
        <w:t>rded to property owners within 10</w:t>
      </w:r>
      <w:r w:rsidRPr="00CB7143">
        <w:rPr>
          <w:rFonts w:ascii="Arial Narrow" w:hAnsi="Arial Narrow"/>
          <w:sz w:val="22"/>
          <w:szCs w:val="22"/>
        </w:rPr>
        <w:t xml:space="preserve">00 feet of the subject parcel and all other interested parties. </w:t>
      </w:r>
      <w:r w:rsidR="002916CE">
        <w:rPr>
          <w:rFonts w:ascii="Arial Narrow" w:hAnsi="Arial Narrow"/>
          <w:sz w:val="22"/>
          <w:szCs w:val="22"/>
        </w:rPr>
        <w:t xml:space="preserve"> The review period for the application materials and CEQA document ran from </w:t>
      </w:r>
      <w:r w:rsidR="00A32F7E">
        <w:rPr>
          <w:rFonts w:ascii="Arial Narrow" w:hAnsi="Arial Narrow"/>
          <w:sz w:val="22"/>
          <w:szCs w:val="22"/>
        </w:rPr>
        <w:t xml:space="preserve">October </w:t>
      </w:r>
      <w:r w:rsidR="00BE2272">
        <w:rPr>
          <w:rFonts w:ascii="Arial Narrow" w:hAnsi="Arial Narrow"/>
          <w:sz w:val="22"/>
          <w:szCs w:val="22"/>
        </w:rPr>
        <w:t>29</w:t>
      </w:r>
      <w:r w:rsidR="002916CE">
        <w:rPr>
          <w:rFonts w:ascii="Arial Narrow" w:hAnsi="Arial Narrow"/>
          <w:sz w:val="22"/>
          <w:szCs w:val="22"/>
        </w:rPr>
        <w:t>, 201</w:t>
      </w:r>
      <w:r w:rsidR="00182D50">
        <w:rPr>
          <w:rFonts w:ascii="Arial Narrow" w:hAnsi="Arial Narrow"/>
          <w:sz w:val="22"/>
          <w:szCs w:val="22"/>
        </w:rPr>
        <w:t xml:space="preserve">4 to </w:t>
      </w:r>
      <w:r w:rsidR="00A32F7E">
        <w:rPr>
          <w:rFonts w:ascii="Arial Narrow" w:hAnsi="Arial Narrow"/>
          <w:sz w:val="22"/>
          <w:szCs w:val="22"/>
        </w:rPr>
        <w:t xml:space="preserve">November </w:t>
      </w:r>
      <w:r w:rsidR="00BE2272">
        <w:rPr>
          <w:rFonts w:ascii="Arial Narrow" w:hAnsi="Arial Narrow"/>
          <w:sz w:val="22"/>
          <w:szCs w:val="22"/>
        </w:rPr>
        <w:t>18</w:t>
      </w:r>
      <w:r w:rsidR="002916CE">
        <w:rPr>
          <w:rFonts w:ascii="Arial Narrow" w:hAnsi="Arial Narrow"/>
          <w:sz w:val="22"/>
          <w:szCs w:val="22"/>
        </w:rPr>
        <w:t>, 2014.</w:t>
      </w: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Default="00182D50" w:rsidP="00C26A0E">
      <w:pPr>
        <w:ind w:left="360"/>
        <w:jc w:val="both"/>
        <w:rPr>
          <w:rFonts w:ascii="Arial Narrow" w:hAnsi="Arial Narrow" w:cs="Arial"/>
          <w:sz w:val="22"/>
          <w:szCs w:val="22"/>
        </w:rPr>
      </w:pPr>
    </w:p>
    <w:p w:rsidR="00182D50" w:rsidRPr="00CB7143" w:rsidRDefault="00182D50" w:rsidP="00C26A0E">
      <w:pPr>
        <w:ind w:left="360"/>
        <w:jc w:val="both"/>
        <w:rPr>
          <w:rFonts w:ascii="Arial Narrow" w:hAnsi="Arial Narrow" w:cs="Arial"/>
          <w:sz w:val="22"/>
          <w:szCs w:val="22"/>
        </w:rPr>
      </w:pPr>
    </w:p>
    <w:p w:rsidR="00C26A0E" w:rsidRPr="00CB7143" w:rsidRDefault="00C26A0E" w:rsidP="00C26A0E">
      <w:pPr>
        <w:ind w:left="360" w:hanging="360"/>
        <w:jc w:val="both"/>
        <w:rPr>
          <w:rFonts w:ascii="Arial Narrow" w:hAnsi="Arial Narrow" w:cs="Arial"/>
          <w:sz w:val="22"/>
          <w:szCs w:val="22"/>
        </w:rPr>
      </w:pPr>
    </w:p>
    <w:p w:rsidR="00C26A0E" w:rsidRPr="00AD45EA" w:rsidRDefault="00C26A0E" w:rsidP="00AD45EA">
      <w:pPr>
        <w:pStyle w:val="ListParagraph"/>
        <w:numPr>
          <w:ilvl w:val="0"/>
          <w:numId w:val="6"/>
        </w:numPr>
        <w:tabs>
          <w:tab w:val="left" w:pos="360"/>
        </w:tabs>
        <w:ind w:left="360"/>
        <w:jc w:val="both"/>
        <w:rPr>
          <w:rFonts w:ascii="Arial Narrow" w:hAnsi="Arial Narrow" w:cs="Arial"/>
          <w:sz w:val="22"/>
          <w:szCs w:val="22"/>
        </w:rPr>
      </w:pPr>
      <w:r w:rsidRPr="00AD45EA">
        <w:rPr>
          <w:rFonts w:ascii="Arial Narrow" w:hAnsi="Arial Narrow" w:cs="Arial"/>
          <w:sz w:val="22"/>
          <w:szCs w:val="22"/>
        </w:rPr>
        <w:t>The granting of the use permit, as conditioned, will not adversely affect the public health, safety or welfare of the County of Napa.</w:t>
      </w:r>
    </w:p>
    <w:p w:rsidR="00C26A0E" w:rsidRPr="00CB7143" w:rsidRDefault="00C26A0E" w:rsidP="00C26A0E">
      <w:pPr>
        <w:ind w:left="360" w:hanging="360"/>
        <w:jc w:val="both"/>
        <w:rPr>
          <w:rFonts w:ascii="Arial Narrow" w:hAnsi="Arial Narrow" w:cs="Arial"/>
          <w:sz w:val="22"/>
          <w:szCs w:val="22"/>
        </w:rPr>
      </w:pPr>
      <w:r w:rsidRPr="00CB7143">
        <w:rPr>
          <w:rFonts w:ascii="Arial Narrow" w:hAnsi="Arial Narrow" w:cs="Arial"/>
          <w:sz w:val="22"/>
          <w:szCs w:val="22"/>
        </w:rPr>
        <w:tab/>
      </w:r>
    </w:p>
    <w:p w:rsidR="00C26A0E" w:rsidRPr="00CB7143" w:rsidRDefault="00C26A0E" w:rsidP="00C26A0E">
      <w:pPr>
        <w:ind w:left="360" w:hanging="360"/>
        <w:jc w:val="both"/>
        <w:rPr>
          <w:rFonts w:ascii="Arial Narrow" w:hAnsi="Arial Narrow" w:cs="Arial"/>
          <w:sz w:val="22"/>
          <w:szCs w:val="22"/>
        </w:rPr>
      </w:pPr>
      <w:r w:rsidRPr="00CB7143">
        <w:rPr>
          <w:rFonts w:ascii="Arial Narrow" w:hAnsi="Arial Narrow" w:cs="Arial"/>
          <w:sz w:val="22"/>
          <w:szCs w:val="22"/>
        </w:rPr>
        <w:tab/>
      </w:r>
      <w:r w:rsidRPr="00CB7143">
        <w:rPr>
          <w:rFonts w:ascii="Arial Narrow" w:hAnsi="Arial Narrow" w:cs="Arial"/>
          <w:sz w:val="22"/>
          <w:szCs w:val="22"/>
          <w:u w:val="single"/>
        </w:rPr>
        <w:t>Analysis</w:t>
      </w:r>
      <w:r w:rsidRPr="00CB7143">
        <w:rPr>
          <w:rFonts w:ascii="Arial Narrow" w:hAnsi="Arial Narrow" w:cs="Arial"/>
          <w:sz w:val="22"/>
          <w:szCs w:val="22"/>
        </w:rPr>
        <w:t xml:space="preserve">: Various County </w:t>
      </w:r>
      <w:r w:rsidR="002F025B" w:rsidRPr="00CB7143">
        <w:rPr>
          <w:rFonts w:ascii="Arial Narrow" w:hAnsi="Arial Narrow" w:cs="Arial"/>
          <w:sz w:val="22"/>
          <w:szCs w:val="22"/>
        </w:rPr>
        <w:t xml:space="preserve">divisions and </w:t>
      </w:r>
      <w:r w:rsidRPr="00CB7143">
        <w:rPr>
          <w:rFonts w:ascii="Arial Narrow" w:hAnsi="Arial Narrow" w:cs="Arial"/>
          <w:sz w:val="22"/>
          <w:szCs w:val="22"/>
        </w:rPr>
        <w:t>departments have reviewed the project and commented regarding water, traffic and access, and fire protection. Conditions are recommended which will incorporate these comments into the project to assure the ongoing protection of the public health and safety.</w:t>
      </w:r>
    </w:p>
    <w:p w:rsidR="00C26A0E" w:rsidRPr="00CB7143" w:rsidRDefault="00C26A0E" w:rsidP="00C26A0E">
      <w:pPr>
        <w:ind w:left="360" w:hanging="360"/>
        <w:jc w:val="both"/>
        <w:rPr>
          <w:rFonts w:ascii="Arial Narrow" w:hAnsi="Arial Narrow" w:cs="Arial"/>
          <w:sz w:val="22"/>
          <w:szCs w:val="22"/>
        </w:rPr>
      </w:pPr>
    </w:p>
    <w:p w:rsidR="00C26A0E" w:rsidRPr="00CB7143" w:rsidRDefault="00C26A0E" w:rsidP="00AD45EA">
      <w:pPr>
        <w:pStyle w:val="ListParagraph"/>
        <w:numPr>
          <w:ilvl w:val="0"/>
          <w:numId w:val="6"/>
        </w:numPr>
        <w:ind w:left="360"/>
        <w:jc w:val="both"/>
        <w:rPr>
          <w:rFonts w:ascii="Arial Narrow" w:hAnsi="Arial Narrow" w:cs="Arial"/>
          <w:sz w:val="22"/>
          <w:szCs w:val="22"/>
        </w:rPr>
      </w:pPr>
      <w:r w:rsidRPr="00CB7143">
        <w:rPr>
          <w:rFonts w:ascii="Arial Narrow" w:hAnsi="Arial Narrow" w:cs="Arial"/>
          <w:sz w:val="22"/>
          <w:szCs w:val="22"/>
        </w:rPr>
        <w:t>The proposed use complies with applicable provisions of the Napa County Code and is consistent with the policies and standards of the Napa County General Plan.</w:t>
      </w:r>
    </w:p>
    <w:p w:rsidR="00C26A0E" w:rsidRPr="00CB7143" w:rsidRDefault="00C26A0E" w:rsidP="00C26A0E">
      <w:pPr>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u w:val="single"/>
        </w:rPr>
        <w:t>Analysis</w:t>
      </w:r>
      <w:r w:rsidRPr="00CB7143">
        <w:rPr>
          <w:rFonts w:ascii="Arial Narrow" w:hAnsi="Arial Narrow"/>
          <w:sz w:val="22"/>
          <w:szCs w:val="22"/>
        </w:rPr>
        <w:t>:  The proposed use complies with applicable provisions of the Napa County Code and is consistent with the policies and standards of the Napa County General Plan. The Winery Definition Ordinance (WDO) was established to protect agriculture and open space and to regulate winery development and expansion in a manner that avoids potential negative environmental effects. The project complies with the requirements of the Winery Definition Ordinance (Ord. No. 947, 1990) and the applicable provisions of the Napa County Zoning Ordinance (Title 18, Napa County Code).</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rPr>
        <w:t xml:space="preserve">This proposal is consistent with the </w:t>
      </w:r>
      <w:r w:rsidRPr="00CB7143">
        <w:rPr>
          <w:rFonts w:ascii="Arial Narrow" w:hAnsi="Arial Narrow" w:cs="Arial"/>
          <w:i/>
          <w:sz w:val="22"/>
          <w:szCs w:val="22"/>
        </w:rPr>
        <w:t>Napa County General Plan 2008</w:t>
      </w:r>
      <w:r w:rsidRPr="00CB7143">
        <w:rPr>
          <w:rFonts w:ascii="Arial Narrow" w:hAnsi="Arial Narrow" w:cs="Arial"/>
          <w:sz w:val="22"/>
          <w:szCs w:val="22"/>
        </w:rPr>
        <w:t xml:space="preserve">.  </w:t>
      </w:r>
      <w:r w:rsidRPr="00CB7143">
        <w:rPr>
          <w:rFonts w:ascii="Arial Narrow" w:hAnsi="Arial Narrow"/>
          <w:sz w:val="22"/>
          <w:szCs w:val="22"/>
        </w:rPr>
        <w:t xml:space="preserve">The subject parcel is located on land designated Agriculture, Watershed &amp; Open Space (AWOS) on the County’s adopted General Plan Land Use Map. This proposal is for </w:t>
      </w:r>
      <w:r w:rsidR="00B01F71" w:rsidRPr="00CB7143">
        <w:rPr>
          <w:rFonts w:ascii="Arial Narrow" w:hAnsi="Arial Narrow"/>
          <w:sz w:val="22"/>
          <w:szCs w:val="22"/>
        </w:rPr>
        <w:t>modifications to an existing</w:t>
      </w:r>
      <w:r w:rsidRPr="00CB7143">
        <w:rPr>
          <w:rFonts w:ascii="Arial Narrow" w:hAnsi="Arial Narrow"/>
          <w:sz w:val="22"/>
          <w:szCs w:val="22"/>
        </w:rPr>
        <w:t xml:space="preserve"> WDO-compliant </w:t>
      </w:r>
      <w:r w:rsidR="0022016E">
        <w:rPr>
          <w:rFonts w:ascii="Arial Narrow" w:hAnsi="Arial Narrow"/>
          <w:sz w:val="22"/>
          <w:szCs w:val="22"/>
        </w:rPr>
        <w:t>winery use</w:t>
      </w:r>
      <w:r w:rsidRPr="00CB7143">
        <w:rPr>
          <w:rFonts w:ascii="Arial Narrow" w:hAnsi="Arial Narrow"/>
          <w:sz w:val="22"/>
          <w:szCs w:val="22"/>
        </w:rPr>
        <w:t xml:space="preserve"> as outlined in and limited by the approved project scope. (See Exhibit ‘</w:t>
      </w:r>
      <w:r w:rsidR="002010E1">
        <w:rPr>
          <w:rFonts w:ascii="Arial Narrow" w:hAnsi="Arial Narrow"/>
          <w:sz w:val="22"/>
          <w:szCs w:val="22"/>
        </w:rPr>
        <w:t>C</w:t>
      </w:r>
      <w:r w:rsidRPr="00CB7143">
        <w:rPr>
          <w:rFonts w:ascii="Arial Narrow" w:hAnsi="Arial Narrow"/>
          <w:sz w:val="22"/>
          <w:szCs w:val="22"/>
        </w:rPr>
        <w:t>’, Conditions of Approval.) These uses fall within the County’s definition of agriculture and thereby preserve the use of agriculturally designated land for current and future agricultural purposes.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General Plan Agricultural Preservation and Land Use Goal AG/LU-1 guides the County to, “preserve existing agricultural land uses and plan for agriculture and related activities as the primary land uses in Napa County.” General Plan Agricultural Preservation and Land Use Goal AG/LU-3 states the County should, “support the economic viability of agriculture, including grape growing, winemaking, other types of agriculture, and supporting industries to ensure the preservation of agricultural lands.”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As approved here, the use of the property for the “fermenting and processing of grape juice into wine” (NCC Section 18.08.640) supports the economic viability of agriculture within the county consistent with General Plan Agricultural Preservation and Land Use Policy AG/LU-4 (“The County will reserve agricultural lands for agricultural use including lands used for grazing and watershed/ open space…”). Policy AG/LU-8 also states, “The County’s minimum agricultural parcel sizes shall ensure that agricultural areas can be maintained as economic units and General Plan Economic Development Policy E-1 (The County’s economic development will focus on ensuring the continued viability of agriculture…). Approval of this project furthers these key goals.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The General Plan includes two complimentary policies requiring that new wineries, “…be designed to convey their permanence and attractiveness.” (General Plan Agricultural Preservation and Land Use Policy AG/LU-10 and General Plan Community Character Policy CC-2).  The proposed winery will convey permanence and attractiveness.</w:t>
      </w:r>
    </w:p>
    <w:p w:rsidR="00C26A0E" w:rsidRPr="00CB7143" w:rsidRDefault="00C26A0E" w:rsidP="00C26A0E">
      <w:pPr>
        <w:ind w:left="360"/>
        <w:jc w:val="both"/>
        <w:rPr>
          <w:rFonts w:ascii="Arial Narrow" w:hAnsi="Arial Narrow"/>
          <w:sz w:val="22"/>
          <w:szCs w:val="22"/>
        </w:rPr>
      </w:pPr>
    </w:p>
    <w:p w:rsidR="00C26A0E" w:rsidRPr="00CB7143" w:rsidRDefault="00C26A0E" w:rsidP="00C26A0E">
      <w:pPr>
        <w:ind w:left="360"/>
        <w:jc w:val="both"/>
        <w:rPr>
          <w:rFonts w:ascii="Arial Narrow" w:hAnsi="Arial Narrow" w:cs="Arial"/>
          <w:sz w:val="22"/>
          <w:szCs w:val="22"/>
        </w:rPr>
      </w:pPr>
      <w:r w:rsidRPr="00CB7143">
        <w:rPr>
          <w:rFonts w:ascii="Arial Narrow" w:hAnsi="Arial Narrow" w:cs="Arial"/>
          <w:sz w:val="22"/>
          <w:szCs w:val="22"/>
        </w:rPr>
        <w:t xml:space="preserve">Agricultural Policy AG/LU-13 of the County General Plan recognizes wineries, and any use clearly accessory to a winery, as agriculture. The Land Use Standards of the General Plan Policy AG/LU-2 list the processing of agricultural products as one of the general uses recognized by the AWOS land use designations. The proposed project allows for the continuation of agriculture as a dominant land use within the county and is consistent with General Plan Agricultural Policy AG/LU-13. </w:t>
      </w:r>
    </w:p>
    <w:p w:rsidR="00C26A0E" w:rsidRPr="00CB7143" w:rsidRDefault="00C26A0E" w:rsidP="00C26A0E">
      <w:pPr>
        <w:ind w:left="360"/>
        <w:jc w:val="both"/>
        <w:rPr>
          <w:rFonts w:ascii="Arial Narrow" w:hAnsi="Arial Narrow" w:cs="Arial"/>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sz w:val="22"/>
          <w:szCs w:val="22"/>
        </w:rPr>
        <w:t xml:space="preserve">The project is also consistent with General Plan Conservation Policy CON-53 and CON-55 which require that applicants, who are seeking discretionary land use approvals, prove the availability of adequate water supplies which can be appropriated without significant negative impacts on shared groundwater resources. </w:t>
      </w:r>
    </w:p>
    <w:p w:rsidR="00C26A0E" w:rsidRPr="00CB7143" w:rsidRDefault="00C26A0E" w:rsidP="00C26A0E">
      <w:pPr>
        <w:tabs>
          <w:tab w:val="left" w:pos="-2160"/>
        </w:tabs>
        <w:ind w:left="360" w:hanging="540"/>
        <w:jc w:val="both"/>
        <w:rPr>
          <w:rFonts w:ascii="Arial Narrow" w:hAnsi="Arial Narrow"/>
          <w:sz w:val="22"/>
          <w:szCs w:val="22"/>
        </w:rPr>
      </w:pPr>
    </w:p>
    <w:p w:rsidR="00C26A0E" w:rsidRPr="00CB7143" w:rsidRDefault="00C26A0E" w:rsidP="00C26A0E">
      <w:pPr>
        <w:ind w:left="360"/>
        <w:jc w:val="both"/>
        <w:rPr>
          <w:rFonts w:ascii="Arial Narrow" w:hAnsi="Arial Narrow"/>
          <w:sz w:val="22"/>
          <w:szCs w:val="22"/>
        </w:rPr>
      </w:pPr>
      <w:r w:rsidRPr="00CB7143">
        <w:rPr>
          <w:rFonts w:ascii="Arial Narrow" w:hAnsi="Arial Narrow" w:cs="Arial"/>
          <w:sz w:val="22"/>
          <w:szCs w:val="22"/>
        </w:rPr>
        <w:t xml:space="preserve">Finally, the “Right to Farm” is recognized throughout the General Plan and is specifically called out in Policy AG/LU-15 and in the County Code.  “Right to Farm” provisions ensure that agriculture remains the primary land use in Napa County and is not threatened by potentially competing uses or neighbor complaints. </w:t>
      </w:r>
      <w:r w:rsidRPr="00CB7143">
        <w:rPr>
          <w:rFonts w:ascii="Arial Narrow" w:hAnsi="Arial Narrow"/>
          <w:sz w:val="22"/>
          <w:szCs w:val="22"/>
        </w:rPr>
        <w:t>Napa County’s adopted General Plan reinforces the County’s long-standing commitment to agricultural preservation, urban centered growth, and resource conservation.  On balance, this project is consistent with the General Plan’s overall policy framework and with the Plan’s specific goals and policies.</w:t>
      </w:r>
    </w:p>
    <w:p w:rsidR="00C26A0E" w:rsidRPr="00CB7143" w:rsidRDefault="00C26A0E" w:rsidP="00C26A0E">
      <w:pPr>
        <w:ind w:left="360"/>
        <w:jc w:val="both"/>
        <w:rPr>
          <w:rFonts w:ascii="Arial Narrow" w:hAnsi="Arial Narrow" w:cs="Arial"/>
          <w:sz w:val="22"/>
          <w:szCs w:val="22"/>
        </w:rPr>
      </w:pPr>
    </w:p>
    <w:p w:rsidR="00C26A0E" w:rsidRPr="00CB7143" w:rsidRDefault="00C26A0E" w:rsidP="00AD45EA">
      <w:pPr>
        <w:pStyle w:val="ListParagraph"/>
        <w:numPr>
          <w:ilvl w:val="0"/>
          <w:numId w:val="6"/>
        </w:numPr>
        <w:ind w:left="360"/>
        <w:jc w:val="both"/>
        <w:rPr>
          <w:rFonts w:ascii="Arial Narrow" w:hAnsi="Arial Narrow" w:cs="Arial"/>
          <w:sz w:val="22"/>
          <w:szCs w:val="22"/>
        </w:rPr>
      </w:pPr>
      <w:r w:rsidRPr="00CB7143">
        <w:rPr>
          <w:rFonts w:ascii="Arial Narrow" w:hAnsi="Arial Narrow" w:cs="Arial"/>
          <w:sz w:val="22"/>
          <w:szCs w:val="22"/>
        </w:rPr>
        <w:t>The proposed use would not require a water system or improvements causing significant adverse effects, either individually or cumulatively, on the affected groundwater basin in Napa County, unless that use would satisfy any of the other criteria specified for approval or waiver of a groundwater permit under Napa County Code Section 13.15.070 or Section 13.15.080.</w:t>
      </w:r>
    </w:p>
    <w:p w:rsidR="00C26A0E" w:rsidRPr="00CB7143" w:rsidRDefault="00C26A0E" w:rsidP="00C26A0E">
      <w:pPr>
        <w:ind w:left="360" w:hanging="360"/>
        <w:jc w:val="both"/>
        <w:rPr>
          <w:rFonts w:ascii="Arial Narrow" w:hAnsi="Arial Narrow"/>
          <w:sz w:val="22"/>
          <w:szCs w:val="22"/>
        </w:rPr>
      </w:pPr>
    </w:p>
    <w:p w:rsidR="00C26A0E" w:rsidRPr="00CB7143" w:rsidRDefault="00C26A0E" w:rsidP="00C26A0E">
      <w:pPr>
        <w:pStyle w:val="BodyTextIndent2"/>
        <w:ind w:left="360" w:firstLine="0"/>
        <w:jc w:val="both"/>
        <w:rPr>
          <w:rFonts w:ascii="Arial Narrow" w:hAnsi="Arial Narrow" w:cs="Arial"/>
          <w:sz w:val="22"/>
          <w:szCs w:val="22"/>
        </w:rPr>
      </w:pPr>
      <w:r w:rsidRPr="00CB7143">
        <w:rPr>
          <w:rFonts w:ascii="Arial Narrow" w:hAnsi="Arial Narrow" w:cs="Arial"/>
          <w:sz w:val="22"/>
          <w:szCs w:val="22"/>
          <w:u w:val="single"/>
          <w:bdr w:val="none" w:sz="0" w:space="0" w:color="auto" w:frame="1"/>
        </w:rPr>
        <w:t>Analysis</w:t>
      </w:r>
      <w:r w:rsidRPr="00CB7143">
        <w:rPr>
          <w:rFonts w:ascii="Arial Narrow" w:hAnsi="Arial Narrow" w:cs="Arial"/>
          <w:sz w:val="22"/>
          <w:szCs w:val="22"/>
          <w:bdr w:val="none" w:sz="0" w:space="0" w:color="auto" w:frame="1"/>
        </w:rPr>
        <w:t xml:space="preserve">:  The subject property is not located in a “groundwater deficient area” as identified in Section 13.15.010 of the Napa County Code. </w:t>
      </w:r>
      <w:r w:rsidRPr="00CB7143">
        <w:rPr>
          <w:rFonts w:ascii="Arial Narrow" w:hAnsi="Arial Narrow" w:cs="Arial"/>
          <w:sz w:val="22"/>
          <w:szCs w:val="22"/>
        </w:rPr>
        <w:t xml:space="preserve">Minimum thresholds for water use have been established by the Department of Public Works using reports by the United States Geological Survey (USGS). These reports are the result of water resources investigations performed by the USGS in cooperation with the Napa County Flood Control and Water Conservation District. Any project which reduces water usage or any water usage which is at or below the established threshold is, for purposes of the application of the County’s Groundwater Conservation Ordinance, </w:t>
      </w:r>
      <w:r w:rsidR="0022016E">
        <w:rPr>
          <w:rFonts w:ascii="Arial Narrow" w:hAnsi="Arial Narrow" w:cs="Arial"/>
          <w:sz w:val="22"/>
          <w:szCs w:val="22"/>
        </w:rPr>
        <w:t xml:space="preserve">is </w:t>
      </w:r>
      <w:r w:rsidRPr="00CB7143">
        <w:rPr>
          <w:rFonts w:ascii="Arial Narrow" w:hAnsi="Arial Narrow" w:cs="Arial"/>
          <w:sz w:val="22"/>
          <w:szCs w:val="22"/>
        </w:rPr>
        <w:t xml:space="preserve">assumed not to have a significant effect on groundwater levels. Based on the submitted </w:t>
      </w:r>
      <w:r w:rsidRPr="00CB7143">
        <w:rPr>
          <w:rFonts w:ascii="Arial Narrow" w:hAnsi="Arial Narrow" w:cs="Arial"/>
          <w:i/>
          <w:sz w:val="22"/>
          <w:szCs w:val="22"/>
        </w:rPr>
        <w:t>Phase One</w:t>
      </w:r>
      <w:r w:rsidRPr="00CB7143">
        <w:rPr>
          <w:rFonts w:ascii="Arial Narrow" w:hAnsi="Arial Narrow" w:cs="Arial"/>
          <w:sz w:val="22"/>
          <w:szCs w:val="22"/>
        </w:rPr>
        <w:t xml:space="preserve"> water availability analysis, the </w:t>
      </w:r>
      <w:r w:rsidR="00A32F7E">
        <w:rPr>
          <w:rFonts w:ascii="Arial Narrow" w:hAnsi="Arial Narrow" w:cs="Arial"/>
          <w:sz w:val="22"/>
          <w:szCs w:val="22"/>
        </w:rPr>
        <w:t xml:space="preserve">13.4 </w:t>
      </w:r>
      <w:r w:rsidR="002916CE">
        <w:rPr>
          <w:rFonts w:ascii="Arial Narrow" w:hAnsi="Arial Narrow" w:cs="Arial"/>
          <w:sz w:val="22"/>
          <w:szCs w:val="22"/>
        </w:rPr>
        <w:t xml:space="preserve">acre subject </w:t>
      </w:r>
      <w:r w:rsidRPr="00CB7143">
        <w:rPr>
          <w:rFonts w:ascii="Arial Narrow" w:hAnsi="Arial Narrow" w:cs="Arial"/>
          <w:sz w:val="22"/>
          <w:szCs w:val="22"/>
        </w:rPr>
        <w:t xml:space="preserve">parcel has a water availability calculation of </w:t>
      </w:r>
      <w:r w:rsidR="00E7139B">
        <w:rPr>
          <w:rFonts w:ascii="Arial Narrow" w:hAnsi="Arial Narrow" w:cs="Arial"/>
          <w:sz w:val="22"/>
          <w:szCs w:val="22"/>
        </w:rPr>
        <w:t>6.7</w:t>
      </w:r>
      <w:r w:rsidRPr="00CB7143">
        <w:rPr>
          <w:rFonts w:ascii="Arial Narrow" w:hAnsi="Arial Narrow" w:cs="Arial"/>
          <w:sz w:val="22"/>
          <w:szCs w:val="22"/>
        </w:rPr>
        <w:t xml:space="preserve"> acre feet per year (af/yr), which is arrived at by multiplying its approximately </w:t>
      </w:r>
      <w:r w:rsidR="00E7139B">
        <w:rPr>
          <w:rFonts w:ascii="Arial Narrow" w:hAnsi="Arial Narrow" w:cs="Arial"/>
          <w:sz w:val="22"/>
          <w:szCs w:val="22"/>
        </w:rPr>
        <w:t>13.4</w:t>
      </w:r>
      <w:r w:rsidR="0027459B" w:rsidRPr="00CB7143">
        <w:rPr>
          <w:rFonts w:ascii="Arial Narrow" w:hAnsi="Arial Narrow" w:cs="Arial"/>
          <w:sz w:val="22"/>
          <w:szCs w:val="22"/>
        </w:rPr>
        <w:t xml:space="preserve"> acre size by a 0.5</w:t>
      </w:r>
      <w:r w:rsidRPr="00CB7143">
        <w:rPr>
          <w:rFonts w:ascii="Arial Narrow" w:hAnsi="Arial Narrow" w:cs="Arial"/>
          <w:sz w:val="22"/>
          <w:szCs w:val="22"/>
        </w:rPr>
        <w:t xml:space="preserve"> acre feet per year per </w:t>
      </w:r>
      <w:r w:rsidR="0022016E">
        <w:rPr>
          <w:rFonts w:ascii="Arial Narrow" w:hAnsi="Arial Narrow" w:cs="Arial"/>
          <w:sz w:val="22"/>
          <w:szCs w:val="22"/>
        </w:rPr>
        <w:t>acre as the fair share water use</w:t>
      </w:r>
      <w:r w:rsidRPr="00CB7143">
        <w:rPr>
          <w:rFonts w:ascii="Arial Narrow" w:hAnsi="Arial Narrow" w:cs="Arial"/>
          <w:sz w:val="22"/>
          <w:szCs w:val="22"/>
        </w:rPr>
        <w:t>.  The Water Demand Calculations submitted by the applicant</w:t>
      </w:r>
      <w:r w:rsidR="0022016E">
        <w:rPr>
          <w:rFonts w:ascii="Arial Narrow" w:hAnsi="Arial Narrow" w:cs="Arial"/>
          <w:sz w:val="22"/>
          <w:szCs w:val="22"/>
        </w:rPr>
        <w:t>’s</w:t>
      </w:r>
      <w:r w:rsidRPr="00CB7143">
        <w:rPr>
          <w:rFonts w:ascii="Arial Narrow" w:hAnsi="Arial Narrow" w:cs="Arial"/>
          <w:sz w:val="22"/>
          <w:szCs w:val="22"/>
        </w:rPr>
        <w:t xml:space="preserve"> engineer indicated water demand for existing uses on the property</w:t>
      </w:r>
      <w:r w:rsidR="00182D50">
        <w:rPr>
          <w:rFonts w:ascii="Arial Narrow" w:hAnsi="Arial Narrow" w:cs="Arial"/>
          <w:sz w:val="22"/>
          <w:szCs w:val="22"/>
        </w:rPr>
        <w:t xml:space="preserve"> </w:t>
      </w:r>
      <w:r w:rsidR="0022016E">
        <w:rPr>
          <w:rFonts w:ascii="Arial Narrow" w:hAnsi="Arial Narrow" w:cs="Arial"/>
          <w:sz w:val="22"/>
          <w:szCs w:val="22"/>
        </w:rPr>
        <w:t>[</w:t>
      </w:r>
      <w:r w:rsidR="001C69DE" w:rsidRPr="00CB7143">
        <w:rPr>
          <w:rFonts w:ascii="Arial Narrow" w:hAnsi="Arial Narrow" w:cs="Arial"/>
          <w:sz w:val="22"/>
          <w:szCs w:val="22"/>
        </w:rPr>
        <w:t>residence</w:t>
      </w:r>
      <w:r w:rsidR="00182D50">
        <w:rPr>
          <w:rFonts w:ascii="Arial Narrow" w:hAnsi="Arial Narrow" w:cs="Arial"/>
          <w:sz w:val="22"/>
          <w:szCs w:val="22"/>
        </w:rPr>
        <w:t xml:space="preserve"> </w:t>
      </w:r>
      <w:r w:rsidR="0022016E">
        <w:rPr>
          <w:rFonts w:ascii="Arial Narrow" w:hAnsi="Arial Narrow" w:cs="Arial"/>
          <w:sz w:val="22"/>
          <w:szCs w:val="22"/>
        </w:rPr>
        <w:t>(</w:t>
      </w:r>
      <w:r w:rsidR="00E7139B">
        <w:rPr>
          <w:rFonts w:ascii="Arial Narrow" w:hAnsi="Arial Narrow" w:cs="Arial"/>
          <w:sz w:val="22"/>
          <w:szCs w:val="22"/>
        </w:rPr>
        <w:t>1.05</w:t>
      </w:r>
      <w:r w:rsidR="0022016E">
        <w:rPr>
          <w:rFonts w:ascii="Arial Narrow" w:hAnsi="Arial Narrow" w:cs="Arial"/>
          <w:sz w:val="22"/>
          <w:szCs w:val="22"/>
        </w:rPr>
        <w:t>)</w:t>
      </w:r>
      <w:r w:rsidR="001C69DE" w:rsidRPr="00CB7143">
        <w:rPr>
          <w:rFonts w:ascii="Arial Narrow" w:hAnsi="Arial Narrow" w:cs="Arial"/>
          <w:sz w:val="22"/>
          <w:szCs w:val="22"/>
        </w:rPr>
        <w:t xml:space="preserve">, </w:t>
      </w:r>
      <w:r w:rsidRPr="00CB7143">
        <w:rPr>
          <w:rFonts w:ascii="Arial Narrow" w:hAnsi="Arial Narrow" w:cs="Arial"/>
          <w:sz w:val="22"/>
          <w:szCs w:val="22"/>
        </w:rPr>
        <w:t>winery</w:t>
      </w:r>
      <w:r w:rsidR="00182D50">
        <w:rPr>
          <w:rFonts w:ascii="Arial Narrow" w:hAnsi="Arial Narrow" w:cs="Arial"/>
          <w:sz w:val="22"/>
          <w:szCs w:val="22"/>
        </w:rPr>
        <w:t xml:space="preserve"> (0.</w:t>
      </w:r>
      <w:r w:rsidR="00E7139B">
        <w:rPr>
          <w:rFonts w:ascii="Arial Narrow" w:hAnsi="Arial Narrow" w:cs="Arial"/>
          <w:sz w:val="22"/>
          <w:szCs w:val="22"/>
        </w:rPr>
        <w:t>8</w:t>
      </w:r>
      <w:r w:rsidR="00182D50">
        <w:rPr>
          <w:rFonts w:ascii="Arial Narrow" w:hAnsi="Arial Narrow" w:cs="Arial"/>
          <w:sz w:val="22"/>
          <w:szCs w:val="22"/>
        </w:rPr>
        <w:t>)</w:t>
      </w:r>
      <w:r w:rsidR="00182D50" w:rsidRPr="00CB7143">
        <w:rPr>
          <w:rFonts w:ascii="Arial Narrow" w:hAnsi="Arial Narrow" w:cs="Arial"/>
          <w:sz w:val="22"/>
          <w:szCs w:val="22"/>
        </w:rPr>
        <w:t xml:space="preserve">,  </w:t>
      </w:r>
      <w:r w:rsidR="0022016E">
        <w:rPr>
          <w:rFonts w:ascii="Arial Narrow" w:hAnsi="Arial Narrow" w:cs="Arial"/>
          <w:sz w:val="22"/>
          <w:szCs w:val="22"/>
        </w:rPr>
        <w:t>landscaping (</w:t>
      </w:r>
      <w:r w:rsidR="00E7139B">
        <w:rPr>
          <w:rFonts w:ascii="Arial Narrow" w:hAnsi="Arial Narrow" w:cs="Arial"/>
          <w:sz w:val="22"/>
          <w:szCs w:val="22"/>
        </w:rPr>
        <w:t>1.5</w:t>
      </w:r>
      <w:r w:rsidR="0022016E">
        <w:rPr>
          <w:rFonts w:ascii="Arial Narrow" w:hAnsi="Arial Narrow" w:cs="Arial"/>
          <w:sz w:val="22"/>
          <w:szCs w:val="22"/>
        </w:rPr>
        <w:t>)</w:t>
      </w:r>
      <w:r w:rsidR="00E7139B">
        <w:rPr>
          <w:rFonts w:ascii="Arial Narrow" w:hAnsi="Arial Narrow" w:cs="Arial"/>
          <w:sz w:val="22"/>
          <w:szCs w:val="22"/>
        </w:rPr>
        <w:t xml:space="preserve">, </w:t>
      </w:r>
      <w:r w:rsidRPr="00CB7143">
        <w:rPr>
          <w:rFonts w:ascii="Arial Narrow" w:hAnsi="Arial Narrow" w:cs="Arial"/>
          <w:sz w:val="22"/>
          <w:szCs w:val="22"/>
        </w:rPr>
        <w:t>and vineyard</w:t>
      </w:r>
      <w:r w:rsidR="00182D50">
        <w:rPr>
          <w:rFonts w:ascii="Arial Narrow" w:hAnsi="Arial Narrow" w:cs="Arial"/>
          <w:sz w:val="22"/>
          <w:szCs w:val="22"/>
        </w:rPr>
        <w:t>(</w:t>
      </w:r>
      <w:r w:rsidR="00E7139B">
        <w:rPr>
          <w:rFonts w:ascii="Arial Narrow" w:hAnsi="Arial Narrow" w:cs="Arial"/>
          <w:sz w:val="22"/>
          <w:szCs w:val="22"/>
        </w:rPr>
        <w:t>0.9</w:t>
      </w:r>
      <w:r w:rsidRPr="00CB7143">
        <w:rPr>
          <w:rFonts w:ascii="Arial Narrow" w:hAnsi="Arial Narrow" w:cs="Arial"/>
          <w:sz w:val="22"/>
          <w:szCs w:val="22"/>
        </w:rPr>
        <w:t>)</w:t>
      </w:r>
      <w:r w:rsidR="0022016E">
        <w:rPr>
          <w:rFonts w:ascii="Arial Narrow" w:hAnsi="Arial Narrow" w:cs="Arial"/>
          <w:sz w:val="22"/>
          <w:szCs w:val="22"/>
        </w:rPr>
        <w:t>]</w:t>
      </w:r>
      <w:r w:rsidRPr="00CB7143">
        <w:rPr>
          <w:rFonts w:ascii="Arial Narrow" w:hAnsi="Arial Narrow" w:cs="Arial"/>
          <w:sz w:val="22"/>
          <w:szCs w:val="22"/>
        </w:rPr>
        <w:t xml:space="preserve"> as </w:t>
      </w:r>
      <w:r w:rsidR="00E7139B">
        <w:rPr>
          <w:rFonts w:ascii="Arial Narrow" w:hAnsi="Arial Narrow" w:cs="Arial"/>
          <w:sz w:val="22"/>
          <w:szCs w:val="22"/>
        </w:rPr>
        <w:t>4.2</w:t>
      </w:r>
      <w:bookmarkStart w:id="0" w:name="_GoBack"/>
      <w:bookmarkEnd w:id="0"/>
      <w:r w:rsidR="002010E1">
        <w:rPr>
          <w:rFonts w:ascii="Arial Narrow" w:hAnsi="Arial Narrow" w:cs="Arial"/>
          <w:sz w:val="22"/>
          <w:szCs w:val="22"/>
        </w:rPr>
        <w:t xml:space="preserve"> </w:t>
      </w:r>
      <w:r w:rsidRPr="00CB7143">
        <w:rPr>
          <w:rFonts w:ascii="Arial Narrow" w:hAnsi="Arial Narrow" w:cs="Arial"/>
          <w:sz w:val="22"/>
          <w:szCs w:val="22"/>
        </w:rPr>
        <w:t>af/yr and</w:t>
      </w:r>
      <w:r w:rsidR="003A79DC" w:rsidRPr="00CB7143">
        <w:rPr>
          <w:rFonts w:ascii="Arial Narrow" w:hAnsi="Arial Narrow" w:cs="Arial"/>
          <w:sz w:val="22"/>
          <w:szCs w:val="22"/>
        </w:rPr>
        <w:t xml:space="preserve"> the proposed changes woul</w:t>
      </w:r>
      <w:r w:rsidR="007A536C" w:rsidRPr="00CB7143">
        <w:rPr>
          <w:rFonts w:ascii="Arial Narrow" w:hAnsi="Arial Narrow" w:cs="Arial"/>
          <w:sz w:val="22"/>
          <w:szCs w:val="22"/>
        </w:rPr>
        <w:t xml:space="preserve">d increase the water use </w:t>
      </w:r>
      <w:r w:rsidR="0022016E">
        <w:rPr>
          <w:rFonts w:ascii="Arial Narrow" w:hAnsi="Arial Narrow" w:cs="Arial"/>
          <w:sz w:val="22"/>
          <w:szCs w:val="22"/>
        </w:rPr>
        <w:t>for the winery by 0.</w:t>
      </w:r>
      <w:r w:rsidR="00E7139B">
        <w:rPr>
          <w:rFonts w:ascii="Arial Narrow" w:hAnsi="Arial Narrow" w:cs="Arial"/>
          <w:sz w:val="22"/>
          <w:szCs w:val="22"/>
        </w:rPr>
        <w:t>53</w:t>
      </w:r>
      <w:r w:rsidR="0022016E">
        <w:rPr>
          <w:rFonts w:ascii="Arial Narrow" w:hAnsi="Arial Narrow" w:cs="Arial"/>
          <w:sz w:val="22"/>
          <w:szCs w:val="22"/>
        </w:rPr>
        <w:t xml:space="preserve"> </w:t>
      </w:r>
      <w:r w:rsidR="00182D50">
        <w:rPr>
          <w:rFonts w:ascii="Arial Narrow" w:hAnsi="Arial Narrow" w:cs="Arial"/>
          <w:sz w:val="22"/>
          <w:szCs w:val="22"/>
        </w:rPr>
        <w:t xml:space="preserve">and </w:t>
      </w:r>
      <w:r w:rsidR="00E7139B">
        <w:rPr>
          <w:rFonts w:ascii="Arial Narrow" w:hAnsi="Arial Narrow" w:cs="Arial"/>
          <w:sz w:val="22"/>
          <w:szCs w:val="22"/>
        </w:rPr>
        <w:t>vineyards</w:t>
      </w:r>
      <w:r w:rsidR="00182D50">
        <w:rPr>
          <w:rFonts w:ascii="Arial Narrow" w:hAnsi="Arial Narrow" w:cs="Arial"/>
          <w:sz w:val="22"/>
          <w:szCs w:val="22"/>
        </w:rPr>
        <w:t xml:space="preserve"> </w:t>
      </w:r>
      <w:r w:rsidR="00E7139B">
        <w:rPr>
          <w:rFonts w:ascii="Arial Narrow" w:hAnsi="Arial Narrow" w:cs="Arial"/>
          <w:sz w:val="22"/>
          <w:szCs w:val="22"/>
        </w:rPr>
        <w:t>by 0.35</w:t>
      </w:r>
      <w:r w:rsidR="00182D50">
        <w:rPr>
          <w:rFonts w:ascii="Arial Narrow" w:hAnsi="Arial Narrow" w:cs="Arial"/>
          <w:sz w:val="22"/>
          <w:szCs w:val="22"/>
        </w:rPr>
        <w:t xml:space="preserve"> for</w:t>
      </w:r>
      <w:r w:rsidR="0022016E">
        <w:rPr>
          <w:rFonts w:ascii="Arial Narrow" w:hAnsi="Arial Narrow" w:cs="Arial"/>
          <w:sz w:val="22"/>
          <w:szCs w:val="22"/>
        </w:rPr>
        <w:t xml:space="preserve"> a total of</w:t>
      </w:r>
      <w:r w:rsidR="007A536C" w:rsidRPr="00CB7143">
        <w:rPr>
          <w:rFonts w:ascii="Arial Narrow" w:hAnsi="Arial Narrow" w:cs="Arial"/>
          <w:sz w:val="22"/>
          <w:szCs w:val="22"/>
        </w:rPr>
        <w:t xml:space="preserve"> </w:t>
      </w:r>
      <w:r w:rsidR="00E7139B">
        <w:rPr>
          <w:rFonts w:ascii="Arial Narrow" w:hAnsi="Arial Narrow" w:cs="Arial"/>
          <w:sz w:val="22"/>
          <w:szCs w:val="22"/>
        </w:rPr>
        <w:t>5.13</w:t>
      </w:r>
      <w:r w:rsidR="002010E1">
        <w:rPr>
          <w:rFonts w:ascii="Arial Narrow" w:hAnsi="Arial Narrow" w:cs="Arial"/>
          <w:sz w:val="22"/>
          <w:szCs w:val="22"/>
        </w:rPr>
        <w:t xml:space="preserve"> </w:t>
      </w:r>
      <w:r w:rsidR="003402B3" w:rsidRPr="00CB7143">
        <w:rPr>
          <w:rFonts w:ascii="Arial Narrow" w:hAnsi="Arial Narrow" w:cs="Arial"/>
          <w:sz w:val="22"/>
          <w:szCs w:val="22"/>
        </w:rPr>
        <w:t>af/yr.</w:t>
      </w:r>
      <w:r w:rsidRPr="00CB7143">
        <w:rPr>
          <w:rFonts w:ascii="Arial Narrow" w:hAnsi="Arial Narrow" w:cs="Arial"/>
          <w:sz w:val="22"/>
          <w:szCs w:val="22"/>
        </w:rPr>
        <w:t xml:space="preserve"> Based upon this figure the project would be below the established threshold for groundwater use on the property. The County is not aware of, nor has it received any reports of, groundwater shortages near the project area. The project will not interfere substantially with groundwater recharge such that there would be a net deficit in aquifer volume or a lowering of the local groundwater level.</w:t>
      </w:r>
    </w:p>
    <w:p w:rsidR="00073A86" w:rsidRDefault="00073A86"/>
    <w:sectPr w:rsidR="00073A86" w:rsidSect="0000480E">
      <w:footerReference w:type="even" r:id="rId8"/>
      <w:footerReference w:type="default" r:id="rId9"/>
      <w:pgSz w:w="12240" w:h="15840"/>
      <w:pgMar w:top="720" w:right="1260" w:bottom="1008"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F71" w:rsidRDefault="00B01F71" w:rsidP="00BB1393">
      <w:r>
        <w:separator/>
      </w:r>
    </w:p>
  </w:endnote>
  <w:endnote w:type="continuationSeparator" w:id="0">
    <w:p w:rsidR="00B01F71" w:rsidRDefault="00B01F71" w:rsidP="00BB1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F71" w:rsidRDefault="00B72EA1" w:rsidP="0000480E">
    <w:pPr>
      <w:pStyle w:val="Footer"/>
      <w:framePr w:wrap="around" w:vAnchor="text" w:hAnchor="margin" w:xAlign="right" w:y="1"/>
      <w:rPr>
        <w:rStyle w:val="PageNumber"/>
      </w:rPr>
    </w:pPr>
    <w:r>
      <w:rPr>
        <w:rStyle w:val="PageNumber"/>
      </w:rPr>
      <w:fldChar w:fldCharType="begin"/>
    </w:r>
    <w:r w:rsidR="00B01F71">
      <w:rPr>
        <w:rStyle w:val="PageNumber"/>
      </w:rPr>
      <w:instrText xml:space="preserve">PAGE  </w:instrText>
    </w:r>
    <w:r>
      <w:rPr>
        <w:rStyle w:val="PageNumber"/>
      </w:rPr>
      <w:fldChar w:fldCharType="separate"/>
    </w:r>
    <w:r w:rsidR="00B01F71">
      <w:rPr>
        <w:rStyle w:val="PageNumber"/>
        <w:noProof/>
      </w:rPr>
      <w:t>1</w:t>
    </w:r>
    <w:r>
      <w:rPr>
        <w:rStyle w:val="PageNumber"/>
      </w:rPr>
      <w:fldChar w:fldCharType="end"/>
    </w:r>
  </w:p>
  <w:p w:rsidR="00B01F71" w:rsidRDefault="00B01F71" w:rsidP="000048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F71" w:rsidRPr="00CB7143" w:rsidRDefault="00B01F71" w:rsidP="0000480E">
    <w:pPr>
      <w:pStyle w:val="Footer"/>
      <w:framePr w:wrap="around" w:vAnchor="text" w:hAnchor="margin" w:xAlign="right" w:y="1"/>
      <w:rPr>
        <w:rStyle w:val="PageNumber"/>
        <w:rFonts w:ascii="Arial Narrow" w:hAnsi="Arial Narrow"/>
        <w:sz w:val="20"/>
        <w:szCs w:val="20"/>
      </w:rPr>
    </w:pPr>
    <w:r w:rsidRPr="00CB7143">
      <w:rPr>
        <w:rStyle w:val="PageNumber"/>
        <w:rFonts w:ascii="Arial Narrow" w:hAnsi="Arial Narrow"/>
        <w:sz w:val="20"/>
        <w:szCs w:val="20"/>
      </w:rPr>
      <w:t xml:space="preserve">Page </w:t>
    </w:r>
    <w:r w:rsidR="00B72EA1" w:rsidRPr="00CB7143">
      <w:rPr>
        <w:rStyle w:val="PageNumber"/>
        <w:rFonts w:ascii="Arial Narrow" w:hAnsi="Arial Narrow"/>
        <w:sz w:val="20"/>
        <w:szCs w:val="20"/>
      </w:rPr>
      <w:fldChar w:fldCharType="begin"/>
    </w:r>
    <w:r w:rsidRPr="00CB7143">
      <w:rPr>
        <w:rStyle w:val="PageNumber"/>
        <w:rFonts w:ascii="Arial Narrow" w:hAnsi="Arial Narrow"/>
        <w:sz w:val="20"/>
        <w:szCs w:val="20"/>
      </w:rPr>
      <w:instrText xml:space="preserve">PAGE  </w:instrText>
    </w:r>
    <w:r w:rsidR="00B72EA1" w:rsidRPr="00CB7143">
      <w:rPr>
        <w:rStyle w:val="PageNumber"/>
        <w:rFonts w:ascii="Arial Narrow" w:hAnsi="Arial Narrow"/>
        <w:sz w:val="20"/>
        <w:szCs w:val="20"/>
      </w:rPr>
      <w:fldChar w:fldCharType="separate"/>
    </w:r>
    <w:r w:rsidR="00BE2272">
      <w:rPr>
        <w:rStyle w:val="PageNumber"/>
        <w:rFonts w:ascii="Arial Narrow" w:hAnsi="Arial Narrow"/>
        <w:noProof/>
        <w:sz w:val="20"/>
        <w:szCs w:val="20"/>
      </w:rPr>
      <w:t>3</w:t>
    </w:r>
    <w:r w:rsidR="00B72EA1" w:rsidRPr="00CB7143">
      <w:rPr>
        <w:rStyle w:val="PageNumber"/>
        <w:rFonts w:ascii="Arial Narrow" w:hAnsi="Arial Narrow"/>
        <w:sz w:val="20"/>
        <w:szCs w:val="20"/>
      </w:rPr>
      <w:fldChar w:fldCharType="end"/>
    </w:r>
    <w:r w:rsidRPr="00CB7143">
      <w:rPr>
        <w:rStyle w:val="PageNumber"/>
        <w:rFonts w:ascii="Arial Narrow" w:hAnsi="Arial Narrow"/>
        <w:sz w:val="20"/>
        <w:szCs w:val="20"/>
      </w:rPr>
      <w:t xml:space="preserve"> of </w:t>
    </w:r>
    <w:r w:rsidR="00CB7143">
      <w:rPr>
        <w:rStyle w:val="PageNumber"/>
        <w:rFonts w:ascii="Arial Narrow" w:hAnsi="Arial Narrow"/>
        <w:sz w:val="20"/>
        <w:szCs w:val="20"/>
      </w:rPr>
      <w:t>3</w:t>
    </w:r>
    <w:r w:rsidRPr="00CB7143">
      <w:rPr>
        <w:rStyle w:val="PageNumber"/>
        <w:rFonts w:ascii="Arial Narrow" w:hAnsi="Arial Narrow"/>
        <w:sz w:val="20"/>
        <w:szCs w:val="20"/>
      </w:rPr>
      <w:t xml:space="preserve"> </w:t>
    </w:r>
  </w:p>
  <w:p w:rsidR="00DC0A72" w:rsidRPr="00CB7143" w:rsidRDefault="00A32F7E" w:rsidP="0000480E">
    <w:pPr>
      <w:pStyle w:val="Footer"/>
      <w:ind w:right="360"/>
      <w:rPr>
        <w:rFonts w:ascii="Arial Narrow" w:hAnsi="Arial Narrow" w:cs="Arial"/>
        <w:sz w:val="20"/>
        <w:szCs w:val="20"/>
      </w:rPr>
    </w:pPr>
    <w:r>
      <w:rPr>
        <w:rFonts w:ascii="Arial Narrow" w:hAnsi="Arial Narrow" w:cs="Arial"/>
        <w:sz w:val="20"/>
        <w:szCs w:val="20"/>
      </w:rPr>
      <w:t>Robert Foley Vineayrds</w:t>
    </w:r>
    <w:r w:rsidR="00182D50">
      <w:rPr>
        <w:rFonts w:ascii="Arial Narrow" w:hAnsi="Arial Narrow" w:cs="Arial"/>
        <w:sz w:val="20"/>
        <w:szCs w:val="20"/>
      </w:rPr>
      <w:t xml:space="preserve"> Winery</w:t>
    </w:r>
  </w:p>
  <w:p w:rsidR="00B01F71" w:rsidRPr="00CB7143" w:rsidRDefault="00A32F7E" w:rsidP="0000480E">
    <w:pPr>
      <w:pStyle w:val="Footer"/>
      <w:ind w:right="360"/>
      <w:rPr>
        <w:rFonts w:ascii="Arial Narrow" w:hAnsi="Arial Narrow" w:cs="Arial"/>
        <w:sz w:val="20"/>
        <w:szCs w:val="20"/>
      </w:rPr>
    </w:pPr>
    <w:r>
      <w:rPr>
        <w:rFonts w:ascii="Arial Narrow" w:hAnsi="Arial Narrow" w:cs="Arial"/>
        <w:sz w:val="20"/>
        <w:szCs w:val="20"/>
      </w:rPr>
      <w:t>P14-00085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F71" w:rsidRDefault="00B01F71" w:rsidP="00BB1393">
      <w:r>
        <w:separator/>
      </w:r>
    </w:p>
  </w:footnote>
  <w:footnote w:type="continuationSeparator" w:id="0">
    <w:p w:rsidR="00B01F71" w:rsidRDefault="00B01F71" w:rsidP="00BB13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E58E4"/>
    <w:multiLevelType w:val="hybridMultilevel"/>
    <w:tmpl w:val="E7449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5E331A"/>
    <w:multiLevelType w:val="hybridMultilevel"/>
    <w:tmpl w:val="6D68C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311EE0"/>
    <w:multiLevelType w:val="hybridMultilevel"/>
    <w:tmpl w:val="3CC4795A"/>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1757296"/>
    <w:multiLevelType w:val="hybridMultilevel"/>
    <w:tmpl w:val="51C8C62C"/>
    <w:lvl w:ilvl="0" w:tplc="2D240896">
      <w:start w:val="2"/>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955B9C"/>
    <w:multiLevelType w:val="hybridMultilevel"/>
    <w:tmpl w:val="1E54F962"/>
    <w:lvl w:ilvl="0" w:tplc="0D90900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E1279E"/>
    <w:multiLevelType w:val="hybridMultilevel"/>
    <w:tmpl w:val="68B0C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A0E"/>
    <w:rsid w:val="0000480E"/>
    <w:rsid w:val="00073A86"/>
    <w:rsid w:val="000A2127"/>
    <w:rsid w:val="00174A7B"/>
    <w:rsid w:val="00182D50"/>
    <w:rsid w:val="001C69DE"/>
    <w:rsid w:val="002010E1"/>
    <w:rsid w:val="0022016E"/>
    <w:rsid w:val="0027459B"/>
    <w:rsid w:val="002916CE"/>
    <w:rsid w:val="002F025B"/>
    <w:rsid w:val="003402B3"/>
    <w:rsid w:val="00341819"/>
    <w:rsid w:val="00357B8D"/>
    <w:rsid w:val="003A79DC"/>
    <w:rsid w:val="003E5AA1"/>
    <w:rsid w:val="00444418"/>
    <w:rsid w:val="00452912"/>
    <w:rsid w:val="004B456B"/>
    <w:rsid w:val="004C769F"/>
    <w:rsid w:val="00572812"/>
    <w:rsid w:val="00573561"/>
    <w:rsid w:val="00600DE7"/>
    <w:rsid w:val="006844C6"/>
    <w:rsid w:val="006D0A6A"/>
    <w:rsid w:val="0074703B"/>
    <w:rsid w:val="007A536C"/>
    <w:rsid w:val="007B13A3"/>
    <w:rsid w:val="00826FCC"/>
    <w:rsid w:val="0090613B"/>
    <w:rsid w:val="009A29F8"/>
    <w:rsid w:val="00A22B9C"/>
    <w:rsid w:val="00A32F7E"/>
    <w:rsid w:val="00AB712B"/>
    <w:rsid w:val="00AD45EA"/>
    <w:rsid w:val="00B01F71"/>
    <w:rsid w:val="00B20008"/>
    <w:rsid w:val="00B72EA1"/>
    <w:rsid w:val="00BB1393"/>
    <w:rsid w:val="00BE2272"/>
    <w:rsid w:val="00C26A0E"/>
    <w:rsid w:val="00C94DE9"/>
    <w:rsid w:val="00CB7143"/>
    <w:rsid w:val="00CD12D4"/>
    <w:rsid w:val="00DC0A72"/>
    <w:rsid w:val="00DD6FFE"/>
    <w:rsid w:val="00E7139B"/>
    <w:rsid w:val="00EE1CE5"/>
    <w:rsid w:val="00EE1F8E"/>
    <w:rsid w:val="00F74776"/>
    <w:rsid w:val="00F8003B"/>
    <w:rsid w:val="00FB4C2E"/>
    <w:rsid w:val="00FC5399"/>
    <w:rsid w:val="00FE5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0E"/>
    <w:pPr>
      <w:spacing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6A0E"/>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C26A0E"/>
    <w:rPr>
      <w:rFonts w:ascii="Times New Roman" w:eastAsia="Times New Roman" w:hAnsi="Times New Roman" w:cs="Times New Roman"/>
      <w:sz w:val="24"/>
      <w:szCs w:val="24"/>
    </w:rPr>
  </w:style>
  <w:style w:type="paragraph" w:styleId="BodyTextIndent2">
    <w:name w:val="Body Text Indent 2"/>
    <w:basedOn w:val="Normal"/>
    <w:link w:val="BodyTextIndent2Char"/>
    <w:rsid w:val="00C26A0E"/>
    <w:pPr>
      <w:tabs>
        <w:tab w:val="left" w:pos="0"/>
      </w:tabs>
      <w:ind w:left="720" w:hanging="2160"/>
    </w:pPr>
    <w:rPr>
      <w:rFonts w:ascii="Times New Roman" w:hAnsi="Times New Roman"/>
    </w:rPr>
  </w:style>
  <w:style w:type="character" w:customStyle="1" w:styleId="BodyTextIndent2Char">
    <w:name w:val="Body Text Indent 2 Char"/>
    <w:basedOn w:val="DefaultParagraphFont"/>
    <w:link w:val="BodyTextIndent2"/>
    <w:rsid w:val="00C26A0E"/>
    <w:rPr>
      <w:rFonts w:ascii="Times New Roman" w:eastAsia="Times New Roman" w:hAnsi="Times New Roman" w:cs="Times New Roman"/>
      <w:sz w:val="24"/>
      <w:szCs w:val="24"/>
    </w:rPr>
  </w:style>
  <w:style w:type="character" w:styleId="PageNumber">
    <w:name w:val="page number"/>
    <w:basedOn w:val="DefaultParagraphFont"/>
    <w:rsid w:val="00C26A0E"/>
  </w:style>
  <w:style w:type="paragraph" w:styleId="ListParagraph">
    <w:name w:val="List Paragraph"/>
    <w:basedOn w:val="Normal"/>
    <w:uiPriority w:val="34"/>
    <w:qFormat/>
    <w:rsid w:val="00C26A0E"/>
    <w:pPr>
      <w:ind w:left="720"/>
      <w:contextualSpacing/>
    </w:pPr>
  </w:style>
  <w:style w:type="paragraph" w:styleId="Header">
    <w:name w:val="header"/>
    <w:basedOn w:val="Normal"/>
    <w:link w:val="HeaderChar"/>
    <w:uiPriority w:val="99"/>
    <w:unhideWhenUsed/>
    <w:rsid w:val="00BB1393"/>
    <w:pPr>
      <w:tabs>
        <w:tab w:val="center" w:pos="4680"/>
        <w:tab w:val="right" w:pos="9360"/>
      </w:tabs>
    </w:pPr>
  </w:style>
  <w:style w:type="character" w:customStyle="1" w:styleId="HeaderChar">
    <w:name w:val="Header Char"/>
    <w:basedOn w:val="DefaultParagraphFont"/>
    <w:link w:val="Header"/>
    <w:uiPriority w:val="99"/>
    <w:rsid w:val="00BB1393"/>
    <w:rPr>
      <w:rFonts w:ascii="Arial" w:eastAsia="Times New Roman"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A0E"/>
    <w:pPr>
      <w:spacing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6A0E"/>
    <w:pPr>
      <w:tabs>
        <w:tab w:val="center" w:pos="4320"/>
        <w:tab w:val="right" w:pos="8640"/>
      </w:tabs>
    </w:pPr>
    <w:rPr>
      <w:rFonts w:ascii="Times New Roman" w:hAnsi="Times New Roman"/>
    </w:rPr>
  </w:style>
  <w:style w:type="character" w:customStyle="1" w:styleId="FooterChar">
    <w:name w:val="Footer Char"/>
    <w:basedOn w:val="DefaultParagraphFont"/>
    <w:link w:val="Footer"/>
    <w:uiPriority w:val="99"/>
    <w:rsid w:val="00C26A0E"/>
    <w:rPr>
      <w:rFonts w:ascii="Times New Roman" w:eastAsia="Times New Roman" w:hAnsi="Times New Roman" w:cs="Times New Roman"/>
      <w:sz w:val="24"/>
      <w:szCs w:val="24"/>
    </w:rPr>
  </w:style>
  <w:style w:type="paragraph" w:styleId="BodyTextIndent2">
    <w:name w:val="Body Text Indent 2"/>
    <w:basedOn w:val="Normal"/>
    <w:link w:val="BodyTextIndent2Char"/>
    <w:rsid w:val="00C26A0E"/>
    <w:pPr>
      <w:tabs>
        <w:tab w:val="left" w:pos="0"/>
      </w:tabs>
      <w:ind w:left="720" w:hanging="2160"/>
    </w:pPr>
    <w:rPr>
      <w:rFonts w:ascii="Times New Roman" w:hAnsi="Times New Roman"/>
    </w:rPr>
  </w:style>
  <w:style w:type="character" w:customStyle="1" w:styleId="BodyTextIndent2Char">
    <w:name w:val="Body Text Indent 2 Char"/>
    <w:basedOn w:val="DefaultParagraphFont"/>
    <w:link w:val="BodyTextIndent2"/>
    <w:rsid w:val="00C26A0E"/>
    <w:rPr>
      <w:rFonts w:ascii="Times New Roman" w:eastAsia="Times New Roman" w:hAnsi="Times New Roman" w:cs="Times New Roman"/>
      <w:sz w:val="24"/>
      <w:szCs w:val="24"/>
    </w:rPr>
  </w:style>
  <w:style w:type="character" w:styleId="PageNumber">
    <w:name w:val="page number"/>
    <w:basedOn w:val="DefaultParagraphFont"/>
    <w:rsid w:val="00C26A0E"/>
  </w:style>
  <w:style w:type="paragraph" w:styleId="ListParagraph">
    <w:name w:val="List Paragraph"/>
    <w:basedOn w:val="Normal"/>
    <w:uiPriority w:val="34"/>
    <w:qFormat/>
    <w:rsid w:val="00C26A0E"/>
    <w:pPr>
      <w:ind w:left="720"/>
      <w:contextualSpacing/>
    </w:pPr>
  </w:style>
  <w:style w:type="paragraph" w:styleId="Header">
    <w:name w:val="header"/>
    <w:basedOn w:val="Normal"/>
    <w:link w:val="HeaderChar"/>
    <w:uiPriority w:val="99"/>
    <w:unhideWhenUsed/>
    <w:rsid w:val="00BB1393"/>
    <w:pPr>
      <w:tabs>
        <w:tab w:val="center" w:pos="4680"/>
        <w:tab w:val="right" w:pos="9360"/>
      </w:tabs>
    </w:pPr>
  </w:style>
  <w:style w:type="character" w:customStyle="1" w:styleId="HeaderChar">
    <w:name w:val="Header Char"/>
    <w:basedOn w:val="DefaultParagraphFont"/>
    <w:link w:val="Header"/>
    <w:uiPriority w:val="99"/>
    <w:rsid w:val="00BB1393"/>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3</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9332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Claire, Linda</dc:creator>
  <cp:lastModifiedBy>Sharma, Shaveta</cp:lastModifiedBy>
  <cp:revision>4</cp:revision>
  <dcterms:created xsi:type="dcterms:W3CDTF">2014-10-14T17:40:00Z</dcterms:created>
  <dcterms:modified xsi:type="dcterms:W3CDTF">2014-11-12T15:42:00Z</dcterms:modified>
</cp:coreProperties>
</file>