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384" w:rsidRDefault="005F0384" w:rsidP="0083356B">
      <w:pPr>
        <w:rPr>
          <w:rFonts w:ascii="Palatino Linotype" w:hAnsi="Palatino Linotype"/>
          <w:sz w:val="22"/>
          <w:szCs w:val="22"/>
        </w:rPr>
      </w:pPr>
      <w:bookmarkStart w:id="0" w:name="_GoBack"/>
      <w:bookmarkEnd w:id="0"/>
    </w:p>
    <w:p w:rsidR="003467F5" w:rsidRPr="00E5545D" w:rsidRDefault="003467F5" w:rsidP="003467F5">
      <w:pPr>
        <w:rPr>
          <w:rFonts w:ascii="Palatino Linotype" w:hAnsi="Palatino Linotype"/>
          <w:b/>
          <w:spacing w:val="40"/>
          <w:sz w:val="28"/>
          <w:szCs w:val="28"/>
        </w:rPr>
      </w:pPr>
      <w:r w:rsidRPr="00E5545D">
        <w:rPr>
          <w:rFonts w:ascii="Palatino Linotype" w:hAnsi="Palatino Linotype"/>
          <w:b/>
          <w:spacing w:val="40"/>
          <w:sz w:val="28"/>
          <w:szCs w:val="28"/>
        </w:rPr>
        <w:t>MEMORANDUM</w:t>
      </w:r>
    </w:p>
    <w:p w:rsidR="003467F5" w:rsidRDefault="003467F5" w:rsidP="003467F5">
      <w:pPr>
        <w:rPr>
          <w:rFonts w:ascii="Palatino Linotype" w:hAnsi="Palatino Linotype"/>
          <w:sz w:val="22"/>
          <w:szCs w:val="22"/>
        </w:rPr>
      </w:pPr>
    </w:p>
    <w:tbl>
      <w:tblPr>
        <w:tblW w:w="0" w:type="auto"/>
        <w:tblLayout w:type="fixed"/>
        <w:tblLook w:val="01E0" w:firstRow="1" w:lastRow="1" w:firstColumn="1" w:lastColumn="1" w:noHBand="0" w:noVBand="0"/>
      </w:tblPr>
      <w:tblGrid>
        <w:gridCol w:w="864"/>
        <w:gridCol w:w="4320"/>
        <w:gridCol w:w="864"/>
        <w:gridCol w:w="4320"/>
      </w:tblGrid>
      <w:tr w:rsidR="003467F5" w:rsidRPr="002F648C" w:rsidTr="007147E5">
        <w:tc>
          <w:tcPr>
            <w:tcW w:w="864" w:type="dxa"/>
            <w:tcBorders>
              <w:top w:val="single" w:sz="4" w:space="0" w:color="auto"/>
              <w:left w:val="single" w:sz="4" w:space="0" w:color="auto"/>
              <w:bottom w:val="single" w:sz="4" w:space="0" w:color="auto"/>
            </w:tcBorders>
          </w:tcPr>
          <w:p w:rsidR="003467F5" w:rsidRPr="002F648C" w:rsidRDefault="003467F5" w:rsidP="007147E5">
            <w:pPr>
              <w:rPr>
                <w:rFonts w:ascii="Palatino Linotype" w:hAnsi="Palatino Linotype"/>
                <w:sz w:val="22"/>
                <w:szCs w:val="22"/>
              </w:rPr>
            </w:pPr>
            <w:r w:rsidRPr="002F648C">
              <w:rPr>
                <w:rFonts w:ascii="Palatino Linotype" w:hAnsi="Palatino Linotype"/>
                <w:sz w:val="22"/>
                <w:szCs w:val="22"/>
              </w:rPr>
              <w:t>To:</w:t>
            </w:r>
          </w:p>
        </w:tc>
        <w:tc>
          <w:tcPr>
            <w:tcW w:w="4320" w:type="dxa"/>
            <w:tcBorders>
              <w:top w:val="single" w:sz="4" w:space="0" w:color="auto"/>
              <w:bottom w:val="single" w:sz="4" w:space="0" w:color="auto"/>
            </w:tcBorders>
          </w:tcPr>
          <w:p w:rsidR="003467F5" w:rsidRPr="002F648C" w:rsidRDefault="002F3BA5" w:rsidP="002F3BA5">
            <w:pPr>
              <w:rPr>
                <w:rFonts w:ascii="Palatino Linotype" w:hAnsi="Palatino Linotype"/>
                <w:sz w:val="22"/>
                <w:szCs w:val="22"/>
              </w:rPr>
            </w:pPr>
            <w:r>
              <w:rPr>
                <w:rFonts w:ascii="Palatino Linotype" w:hAnsi="Palatino Linotype"/>
                <w:sz w:val="22"/>
                <w:szCs w:val="22"/>
              </w:rPr>
              <w:t>Napa County Agricultural Protection Advisory Committee</w:t>
            </w:r>
          </w:p>
        </w:tc>
        <w:tc>
          <w:tcPr>
            <w:tcW w:w="864" w:type="dxa"/>
            <w:tcBorders>
              <w:top w:val="single" w:sz="4" w:space="0" w:color="auto"/>
              <w:bottom w:val="single" w:sz="4" w:space="0" w:color="auto"/>
            </w:tcBorders>
          </w:tcPr>
          <w:p w:rsidR="003467F5" w:rsidRPr="002F648C" w:rsidRDefault="003467F5" w:rsidP="007147E5">
            <w:pPr>
              <w:rPr>
                <w:rFonts w:ascii="Palatino Linotype" w:hAnsi="Palatino Linotype"/>
                <w:sz w:val="22"/>
                <w:szCs w:val="22"/>
              </w:rPr>
            </w:pPr>
            <w:r w:rsidRPr="002F648C">
              <w:rPr>
                <w:rFonts w:ascii="Palatino Linotype" w:hAnsi="Palatino Linotype"/>
                <w:sz w:val="22"/>
                <w:szCs w:val="22"/>
              </w:rPr>
              <w:t>From:</w:t>
            </w:r>
          </w:p>
        </w:tc>
        <w:tc>
          <w:tcPr>
            <w:tcW w:w="4320" w:type="dxa"/>
            <w:tcBorders>
              <w:top w:val="single" w:sz="4" w:space="0" w:color="auto"/>
              <w:bottom w:val="single" w:sz="4" w:space="0" w:color="auto"/>
              <w:right w:val="single" w:sz="4" w:space="0" w:color="auto"/>
            </w:tcBorders>
          </w:tcPr>
          <w:p w:rsidR="003467F5" w:rsidRDefault="003467F5" w:rsidP="007147E5">
            <w:pPr>
              <w:rPr>
                <w:rFonts w:ascii="Palatino Linotype" w:hAnsi="Palatino Linotype"/>
                <w:sz w:val="22"/>
                <w:szCs w:val="22"/>
              </w:rPr>
            </w:pPr>
            <w:r>
              <w:rPr>
                <w:rFonts w:ascii="Palatino Linotype" w:hAnsi="Palatino Linotype"/>
                <w:sz w:val="22"/>
                <w:szCs w:val="22"/>
              </w:rPr>
              <w:t>John McDowell</w:t>
            </w:r>
          </w:p>
          <w:p w:rsidR="003467F5" w:rsidRPr="002F648C" w:rsidRDefault="003467F5" w:rsidP="007147E5">
            <w:pPr>
              <w:rPr>
                <w:rFonts w:ascii="Palatino Linotype" w:hAnsi="Palatino Linotype"/>
                <w:sz w:val="22"/>
                <w:szCs w:val="22"/>
              </w:rPr>
            </w:pPr>
            <w:r>
              <w:rPr>
                <w:rFonts w:ascii="Palatino Linotype" w:hAnsi="Palatino Linotype"/>
                <w:sz w:val="22"/>
                <w:szCs w:val="22"/>
              </w:rPr>
              <w:t>Deputy Planning Director</w:t>
            </w:r>
          </w:p>
        </w:tc>
      </w:tr>
      <w:tr w:rsidR="003467F5" w:rsidRPr="002F648C" w:rsidTr="007147E5">
        <w:trPr>
          <w:trHeight w:hRule="exact" w:val="144"/>
        </w:trPr>
        <w:tc>
          <w:tcPr>
            <w:tcW w:w="864" w:type="dxa"/>
            <w:tcBorders>
              <w:top w:val="single" w:sz="4" w:space="0" w:color="auto"/>
              <w:bottom w:val="single" w:sz="4" w:space="0" w:color="auto"/>
            </w:tcBorders>
          </w:tcPr>
          <w:p w:rsidR="003467F5" w:rsidRPr="002F648C" w:rsidRDefault="003467F5" w:rsidP="007147E5">
            <w:pPr>
              <w:rPr>
                <w:rFonts w:ascii="Palatino Linotype" w:hAnsi="Palatino Linotype"/>
                <w:sz w:val="22"/>
                <w:szCs w:val="22"/>
              </w:rPr>
            </w:pPr>
          </w:p>
        </w:tc>
        <w:tc>
          <w:tcPr>
            <w:tcW w:w="4320" w:type="dxa"/>
            <w:tcBorders>
              <w:top w:val="single" w:sz="4" w:space="0" w:color="auto"/>
              <w:bottom w:val="single" w:sz="4" w:space="0" w:color="auto"/>
            </w:tcBorders>
          </w:tcPr>
          <w:p w:rsidR="003467F5" w:rsidRPr="002F648C" w:rsidRDefault="003467F5" w:rsidP="007147E5">
            <w:pPr>
              <w:rPr>
                <w:rFonts w:ascii="Palatino Linotype" w:hAnsi="Palatino Linotype"/>
                <w:sz w:val="22"/>
                <w:szCs w:val="22"/>
              </w:rPr>
            </w:pPr>
          </w:p>
        </w:tc>
        <w:tc>
          <w:tcPr>
            <w:tcW w:w="864" w:type="dxa"/>
            <w:tcBorders>
              <w:top w:val="single" w:sz="4" w:space="0" w:color="auto"/>
              <w:bottom w:val="single" w:sz="4" w:space="0" w:color="auto"/>
            </w:tcBorders>
          </w:tcPr>
          <w:p w:rsidR="003467F5" w:rsidRPr="002F648C" w:rsidRDefault="003467F5" w:rsidP="007147E5">
            <w:pPr>
              <w:rPr>
                <w:rFonts w:ascii="Palatino Linotype" w:hAnsi="Palatino Linotype"/>
                <w:sz w:val="22"/>
                <w:szCs w:val="22"/>
              </w:rPr>
            </w:pPr>
          </w:p>
        </w:tc>
        <w:tc>
          <w:tcPr>
            <w:tcW w:w="4320" w:type="dxa"/>
            <w:tcBorders>
              <w:top w:val="single" w:sz="4" w:space="0" w:color="auto"/>
              <w:bottom w:val="single" w:sz="4" w:space="0" w:color="auto"/>
            </w:tcBorders>
          </w:tcPr>
          <w:p w:rsidR="003467F5" w:rsidRPr="002F648C" w:rsidRDefault="003467F5" w:rsidP="007147E5">
            <w:pPr>
              <w:rPr>
                <w:rFonts w:ascii="Palatino Linotype" w:hAnsi="Palatino Linotype"/>
                <w:sz w:val="22"/>
                <w:szCs w:val="22"/>
              </w:rPr>
            </w:pPr>
          </w:p>
        </w:tc>
      </w:tr>
      <w:tr w:rsidR="003467F5" w:rsidRPr="002F648C" w:rsidTr="007147E5">
        <w:tc>
          <w:tcPr>
            <w:tcW w:w="864" w:type="dxa"/>
            <w:tcBorders>
              <w:top w:val="single" w:sz="4" w:space="0" w:color="auto"/>
              <w:left w:val="single" w:sz="4" w:space="0" w:color="auto"/>
              <w:bottom w:val="single" w:sz="4" w:space="0" w:color="auto"/>
            </w:tcBorders>
          </w:tcPr>
          <w:p w:rsidR="003467F5" w:rsidRPr="002F648C" w:rsidRDefault="003467F5" w:rsidP="007147E5">
            <w:pPr>
              <w:rPr>
                <w:rFonts w:ascii="Palatino Linotype" w:hAnsi="Palatino Linotype"/>
                <w:sz w:val="22"/>
                <w:szCs w:val="22"/>
              </w:rPr>
            </w:pPr>
            <w:r w:rsidRPr="002F648C">
              <w:rPr>
                <w:rFonts w:ascii="Palatino Linotype" w:hAnsi="Palatino Linotype"/>
                <w:sz w:val="22"/>
                <w:szCs w:val="22"/>
              </w:rPr>
              <w:t>Date:</w:t>
            </w:r>
          </w:p>
        </w:tc>
        <w:tc>
          <w:tcPr>
            <w:tcW w:w="4320" w:type="dxa"/>
            <w:tcBorders>
              <w:top w:val="single" w:sz="4" w:space="0" w:color="auto"/>
              <w:bottom w:val="single" w:sz="4" w:space="0" w:color="auto"/>
            </w:tcBorders>
          </w:tcPr>
          <w:p w:rsidR="003467F5" w:rsidRPr="002F648C" w:rsidRDefault="003467F5" w:rsidP="002F3BA5">
            <w:pPr>
              <w:rPr>
                <w:rFonts w:ascii="Palatino Linotype" w:hAnsi="Palatino Linotype"/>
                <w:sz w:val="22"/>
                <w:szCs w:val="22"/>
              </w:rPr>
            </w:pPr>
            <w:r>
              <w:rPr>
                <w:rFonts w:ascii="Palatino Linotype" w:hAnsi="Palatino Linotype"/>
                <w:sz w:val="22"/>
                <w:szCs w:val="22"/>
              </w:rPr>
              <w:t xml:space="preserve">August </w:t>
            </w:r>
            <w:r w:rsidR="002F3BA5">
              <w:rPr>
                <w:rFonts w:ascii="Palatino Linotype" w:hAnsi="Palatino Linotype"/>
                <w:sz w:val="22"/>
                <w:szCs w:val="22"/>
              </w:rPr>
              <w:t>24, 2015</w:t>
            </w:r>
          </w:p>
        </w:tc>
        <w:tc>
          <w:tcPr>
            <w:tcW w:w="864" w:type="dxa"/>
            <w:tcBorders>
              <w:top w:val="single" w:sz="4" w:space="0" w:color="auto"/>
              <w:bottom w:val="single" w:sz="4" w:space="0" w:color="auto"/>
            </w:tcBorders>
          </w:tcPr>
          <w:p w:rsidR="003467F5" w:rsidRPr="002F648C" w:rsidRDefault="003467F5" w:rsidP="007147E5">
            <w:pPr>
              <w:rPr>
                <w:rFonts w:ascii="Palatino Linotype" w:hAnsi="Palatino Linotype"/>
                <w:sz w:val="22"/>
                <w:szCs w:val="22"/>
              </w:rPr>
            </w:pPr>
            <w:r w:rsidRPr="002F648C">
              <w:rPr>
                <w:rFonts w:ascii="Palatino Linotype" w:hAnsi="Palatino Linotype"/>
                <w:sz w:val="22"/>
                <w:szCs w:val="22"/>
              </w:rPr>
              <w:t>Re:</w:t>
            </w:r>
          </w:p>
        </w:tc>
        <w:tc>
          <w:tcPr>
            <w:tcW w:w="4320" w:type="dxa"/>
            <w:tcBorders>
              <w:top w:val="single" w:sz="4" w:space="0" w:color="auto"/>
              <w:bottom w:val="single" w:sz="4" w:space="0" w:color="auto"/>
              <w:right w:val="single" w:sz="4" w:space="0" w:color="auto"/>
            </w:tcBorders>
          </w:tcPr>
          <w:p w:rsidR="003467F5" w:rsidRPr="002F648C" w:rsidRDefault="002F3BA5" w:rsidP="007147E5">
            <w:pPr>
              <w:rPr>
                <w:rFonts w:ascii="Palatino Linotype" w:hAnsi="Palatino Linotype"/>
                <w:sz w:val="22"/>
                <w:szCs w:val="22"/>
              </w:rPr>
            </w:pPr>
            <w:r>
              <w:rPr>
                <w:rFonts w:ascii="Palatino Linotype" w:hAnsi="Palatino Linotype"/>
                <w:sz w:val="22"/>
                <w:szCs w:val="22"/>
              </w:rPr>
              <w:t>Lot Coverage Requirements</w:t>
            </w:r>
          </w:p>
        </w:tc>
      </w:tr>
    </w:tbl>
    <w:p w:rsidR="003467F5" w:rsidRDefault="003467F5" w:rsidP="003467F5">
      <w:pPr>
        <w:rPr>
          <w:rFonts w:ascii="Palatino Linotype" w:hAnsi="Palatino Linotype"/>
          <w:sz w:val="22"/>
          <w:szCs w:val="22"/>
        </w:rPr>
      </w:pPr>
    </w:p>
    <w:p w:rsidR="00DA1CC9" w:rsidRDefault="002F3BA5" w:rsidP="003467F5">
      <w:pPr>
        <w:ind w:firstLine="720"/>
        <w:rPr>
          <w:rFonts w:ascii="Palatino Linotype" w:hAnsi="Palatino Linotype"/>
          <w:sz w:val="22"/>
          <w:szCs w:val="22"/>
        </w:rPr>
      </w:pPr>
      <w:r>
        <w:rPr>
          <w:rFonts w:ascii="Palatino Linotype" w:hAnsi="Palatino Linotype"/>
          <w:sz w:val="22"/>
          <w:szCs w:val="22"/>
        </w:rPr>
        <w:t>At the August 10, 2015 meeting of the Agricultural Protection Advisory Committee (APAC), Committee members requested information on existing County standards for lot coverage of residential and other non-winery land uses allowed within AW – Agricultural Watershed, and AP – Agricultural Preserve zoning districts. In my response at the August 10</w:t>
      </w:r>
      <w:r w:rsidRPr="002F3BA5">
        <w:rPr>
          <w:rFonts w:ascii="Palatino Linotype" w:hAnsi="Palatino Linotype"/>
          <w:sz w:val="22"/>
          <w:szCs w:val="22"/>
          <w:vertAlign w:val="superscript"/>
        </w:rPr>
        <w:t>th</w:t>
      </w:r>
      <w:r>
        <w:rPr>
          <w:rFonts w:ascii="Palatino Linotype" w:hAnsi="Palatino Linotype"/>
          <w:sz w:val="22"/>
          <w:szCs w:val="22"/>
        </w:rPr>
        <w:t xml:space="preserve"> meeting I stated that I believed there was a 40% coverage requirement for residential uses</w:t>
      </w:r>
      <w:r w:rsidR="00DF4EC8">
        <w:rPr>
          <w:rFonts w:ascii="Palatino Linotype" w:hAnsi="Palatino Linotype"/>
          <w:sz w:val="22"/>
          <w:szCs w:val="22"/>
        </w:rPr>
        <w:t xml:space="preserve"> but noted that </w:t>
      </w:r>
      <w:r w:rsidR="00AA4305">
        <w:rPr>
          <w:rFonts w:ascii="Palatino Linotype" w:hAnsi="Palatino Linotype"/>
          <w:sz w:val="22"/>
          <w:szCs w:val="22"/>
        </w:rPr>
        <w:t>this needed confirmed.</w:t>
      </w:r>
      <w:r w:rsidR="007A6B50">
        <w:rPr>
          <w:rFonts w:ascii="Palatino Linotype" w:hAnsi="Palatino Linotype"/>
          <w:sz w:val="22"/>
          <w:szCs w:val="22"/>
        </w:rPr>
        <w:t xml:space="preserve">  </w:t>
      </w:r>
      <w:r w:rsidR="000C5A98">
        <w:rPr>
          <w:rFonts w:ascii="Palatino Linotype" w:hAnsi="Palatino Linotype"/>
          <w:sz w:val="22"/>
          <w:szCs w:val="22"/>
        </w:rPr>
        <w:t>U</w:t>
      </w:r>
      <w:r w:rsidR="007A6B50">
        <w:rPr>
          <w:rFonts w:ascii="Palatino Linotype" w:hAnsi="Palatino Linotype"/>
          <w:sz w:val="22"/>
          <w:szCs w:val="22"/>
        </w:rPr>
        <w:t>pon review</w:t>
      </w:r>
      <w:r w:rsidR="000C5A98">
        <w:rPr>
          <w:rFonts w:ascii="Palatino Linotype" w:hAnsi="Palatino Linotype"/>
          <w:sz w:val="22"/>
          <w:szCs w:val="22"/>
        </w:rPr>
        <w:t>,</w:t>
      </w:r>
      <w:r w:rsidR="007A6B50">
        <w:rPr>
          <w:rFonts w:ascii="Palatino Linotype" w:hAnsi="Palatino Linotype"/>
          <w:sz w:val="22"/>
          <w:szCs w:val="22"/>
        </w:rPr>
        <w:t xml:space="preserve"> </w:t>
      </w:r>
      <w:r w:rsidR="000C5A98">
        <w:rPr>
          <w:rFonts w:ascii="Palatino Linotype" w:hAnsi="Palatino Linotype"/>
          <w:sz w:val="22"/>
          <w:szCs w:val="22"/>
        </w:rPr>
        <w:t>my August 10</w:t>
      </w:r>
      <w:r w:rsidR="000C5A98" w:rsidRPr="000C5A98">
        <w:rPr>
          <w:rFonts w:ascii="Palatino Linotype" w:hAnsi="Palatino Linotype"/>
          <w:sz w:val="22"/>
          <w:szCs w:val="22"/>
          <w:vertAlign w:val="superscript"/>
        </w:rPr>
        <w:t>th</w:t>
      </w:r>
      <w:r w:rsidR="000C5A98">
        <w:rPr>
          <w:rFonts w:ascii="Palatino Linotype" w:hAnsi="Palatino Linotype"/>
          <w:sz w:val="22"/>
          <w:szCs w:val="22"/>
        </w:rPr>
        <w:t xml:space="preserve"> statement was inaccurate as </w:t>
      </w:r>
      <w:r w:rsidR="007A6B50">
        <w:rPr>
          <w:rFonts w:ascii="Palatino Linotype" w:hAnsi="Palatino Linotype"/>
          <w:sz w:val="22"/>
          <w:szCs w:val="22"/>
        </w:rPr>
        <w:t xml:space="preserve">the </w:t>
      </w:r>
      <w:r w:rsidR="00AA4305">
        <w:rPr>
          <w:rFonts w:ascii="Palatino Linotype" w:hAnsi="Palatino Linotype"/>
          <w:sz w:val="22"/>
          <w:szCs w:val="22"/>
        </w:rPr>
        <w:t xml:space="preserve">residential </w:t>
      </w:r>
      <w:r w:rsidR="007A6B50">
        <w:rPr>
          <w:rFonts w:ascii="Palatino Linotype" w:hAnsi="Palatino Linotype"/>
          <w:sz w:val="22"/>
          <w:szCs w:val="22"/>
        </w:rPr>
        <w:t xml:space="preserve">lot </w:t>
      </w:r>
      <w:r w:rsidR="00AA4305">
        <w:rPr>
          <w:rFonts w:ascii="Palatino Linotype" w:hAnsi="Palatino Linotype"/>
          <w:sz w:val="22"/>
          <w:szCs w:val="22"/>
        </w:rPr>
        <w:t>coverage requirement</w:t>
      </w:r>
      <w:r w:rsidR="007A6B50">
        <w:rPr>
          <w:rFonts w:ascii="Palatino Linotype" w:hAnsi="Palatino Linotype"/>
          <w:sz w:val="22"/>
          <w:szCs w:val="22"/>
        </w:rPr>
        <w:t>s</w:t>
      </w:r>
      <w:r w:rsidR="00AA4305">
        <w:rPr>
          <w:rFonts w:ascii="Palatino Linotype" w:hAnsi="Palatino Linotype"/>
          <w:sz w:val="22"/>
          <w:szCs w:val="22"/>
        </w:rPr>
        <w:t xml:space="preserve"> only appl</w:t>
      </w:r>
      <w:r w:rsidR="000C5A98">
        <w:rPr>
          <w:rFonts w:ascii="Palatino Linotype" w:hAnsi="Palatino Linotype"/>
          <w:sz w:val="22"/>
          <w:szCs w:val="22"/>
        </w:rPr>
        <w:t>y</w:t>
      </w:r>
      <w:r w:rsidR="00AA4305">
        <w:rPr>
          <w:rFonts w:ascii="Palatino Linotype" w:hAnsi="Palatino Linotype"/>
          <w:sz w:val="22"/>
          <w:szCs w:val="22"/>
        </w:rPr>
        <w:t xml:space="preserve"> in </w:t>
      </w:r>
      <w:r w:rsidR="007A6B50">
        <w:rPr>
          <w:rFonts w:ascii="Palatino Linotype" w:hAnsi="Palatino Linotype"/>
          <w:sz w:val="22"/>
          <w:szCs w:val="22"/>
        </w:rPr>
        <w:t>the R</w:t>
      </w:r>
      <w:r w:rsidR="00AA4305">
        <w:rPr>
          <w:rFonts w:ascii="Palatino Linotype" w:hAnsi="Palatino Linotype"/>
          <w:sz w:val="22"/>
          <w:szCs w:val="22"/>
        </w:rPr>
        <w:t>esidential</w:t>
      </w:r>
      <w:r w:rsidR="007A6B50">
        <w:rPr>
          <w:rFonts w:ascii="Palatino Linotype" w:hAnsi="Palatino Linotype"/>
          <w:sz w:val="22"/>
          <w:szCs w:val="22"/>
        </w:rPr>
        <w:t xml:space="preserve"> Single and Residential Multiple </w:t>
      </w:r>
      <w:r w:rsidR="00AA4305">
        <w:rPr>
          <w:rFonts w:ascii="Palatino Linotype" w:hAnsi="Palatino Linotype"/>
          <w:sz w:val="22"/>
          <w:szCs w:val="22"/>
        </w:rPr>
        <w:t xml:space="preserve">zoning districts. Within the AW and AP districts, </w:t>
      </w:r>
      <w:r w:rsidR="007A6B50">
        <w:rPr>
          <w:rFonts w:ascii="Palatino Linotype" w:hAnsi="Palatino Linotype"/>
          <w:sz w:val="22"/>
          <w:szCs w:val="22"/>
        </w:rPr>
        <w:t xml:space="preserve">there is no </w:t>
      </w:r>
      <w:r w:rsidR="000C5A98">
        <w:rPr>
          <w:rFonts w:ascii="Palatino Linotype" w:hAnsi="Palatino Linotype"/>
          <w:sz w:val="22"/>
          <w:szCs w:val="22"/>
        </w:rPr>
        <w:t xml:space="preserve">maximum </w:t>
      </w:r>
      <w:r w:rsidR="007A6B50">
        <w:rPr>
          <w:rFonts w:ascii="Palatino Linotype" w:hAnsi="Palatino Linotype"/>
          <w:sz w:val="22"/>
          <w:szCs w:val="22"/>
        </w:rPr>
        <w:t xml:space="preserve">lot coverage requirement. </w:t>
      </w:r>
      <w:r w:rsidR="000C5A98">
        <w:rPr>
          <w:rFonts w:ascii="Palatino Linotype" w:hAnsi="Palatino Linotype"/>
          <w:sz w:val="22"/>
          <w:szCs w:val="22"/>
        </w:rPr>
        <w:t>As a result</w:t>
      </w:r>
      <w:r w:rsidR="00D918CA">
        <w:rPr>
          <w:rFonts w:ascii="Palatino Linotype" w:hAnsi="Palatino Linotype"/>
          <w:sz w:val="22"/>
          <w:szCs w:val="22"/>
        </w:rPr>
        <w:t>,</w:t>
      </w:r>
      <w:r w:rsidR="000C5A98">
        <w:rPr>
          <w:rFonts w:ascii="Palatino Linotype" w:hAnsi="Palatino Linotype"/>
          <w:sz w:val="22"/>
          <w:szCs w:val="22"/>
        </w:rPr>
        <w:t xml:space="preserve"> and as noted in the August 10</w:t>
      </w:r>
      <w:r w:rsidR="000C5A98" w:rsidRPr="000C5A98">
        <w:rPr>
          <w:rFonts w:ascii="Palatino Linotype" w:hAnsi="Palatino Linotype"/>
          <w:sz w:val="22"/>
          <w:szCs w:val="22"/>
          <w:vertAlign w:val="superscript"/>
        </w:rPr>
        <w:t>th</w:t>
      </w:r>
      <w:r w:rsidR="000C5A98">
        <w:rPr>
          <w:rFonts w:ascii="Palatino Linotype" w:hAnsi="Palatino Linotype"/>
          <w:sz w:val="22"/>
          <w:szCs w:val="22"/>
        </w:rPr>
        <w:t xml:space="preserve"> meeting,</w:t>
      </w:r>
      <w:r w:rsidR="00D918CA">
        <w:rPr>
          <w:rFonts w:ascii="Palatino Linotype" w:hAnsi="Palatino Linotype"/>
          <w:sz w:val="22"/>
          <w:szCs w:val="22"/>
        </w:rPr>
        <w:t xml:space="preserve"> </w:t>
      </w:r>
      <w:r w:rsidR="000C5A98">
        <w:rPr>
          <w:rFonts w:ascii="Palatino Linotype" w:hAnsi="Palatino Linotype"/>
          <w:sz w:val="22"/>
          <w:szCs w:val="22"/>
        </w:rPr>
        <w:t xml:space="preserve">limits in the size </w:t>
      </w:r>
      <w:r w:rsidR="0073315A">
        <w:rPr>
          <w:rFonts w:ascii="Palatino Linotype" w:hAnsi="Palatino Linotype"/>
          <w:sz w:val="22"/>
          <w:szCs w:val="22"/>
        </w:rPr>
        <w:t xml:space="preserve">of </w:t>
      </w:r>
      <w:r w:rsidR="00D918CA">
        <w:rPr>
          <w:rFonts w:ascii="Palatino Linotype" w:hAnsi="Palatino Linotype"/>
          <w:sz w:val="22"/>
          <w:szCs w:val="22"/>
        </w:rPr>
        <w:t>r</w:t>
      </w:r>
      <w:r w:rsidR="00AA4305">
        <w:rPr>
          <w:rFonts w:ascii="Palatino Linotype" w:hAnsi="Palatino Linotype"/>
          <w:sz w:val="22"/>
          <w:szCs w:val="22"/>
        </w:rPr>
        <w:t>esidential structures</w:t>
      </w:r>
      <w:r w:rsidR="000C5A98">
        <w:rPr>
          <w:rFonts w:ascii="Palatino Linotype" w:hAnsi="Palatino Linotype"/>
          <w:sz w:val="22"/>
          <w:szCs w:val="22"/>
        </w:rPr>
        <w:t xml:space="preserve"> (and all other allowable structures)</w:t>
      </w:r>
      <w:r w:rsidR="00AA4305">
        <w:rPr>
          <w:rFonts w:ascii="Palatino Linotype" w:hAnsi="Palatino Linotype"/>
          <w:sz w:val="22"/>
          <w:szCs w:val="22"/>
        </w:rPr>
        <w:t xml:space="preserve"> </w:t>
      </w:r>
      <w:r w:rsidR="000C5A98">
        <w:rPr>
          <w:rFonts w:ascii="Palatino Linotype" w:hAnsi="Palatino Linotype"/>
          <w:sz w:val="22"/>
          <w:szCs w:val="22"/>
        </w:rPr>
        <w:t xml:space="preserve">are a </w:t>
      </w:r>
      <w:r w:rsidR="00AA4305">
        <w:rPr>
          <w:rFonts w:ascii="Palatino Linotype" w:hAnsi="Palatino Linotype"/>
          <w:sz w:val="22"/>
          <w:szCs w:val="22"/>
        </w:rPr>
        <w:t xml:space="preserve">function of meeting building, road, well, septic, </w:t>
      </w:r>
      <w:r w:rsidR="00D918CA">
        <w:rPr>
          <w:rFonts w:ascii="Palatino Linotype" w:hAnsi="Palatino Linotype"/>
          <w:sz w:val="22"/>
          <w:szCs w:val="22"/>
        </w:rPr>
        <w:t>s</w:t>
      </w:r>
      <w:r w:rsidR="007A6B50">
        <w:rPr>
          <w:rFonts w:ascii="Palatino Linotype" w:hAnsi="Palatino Linotype"/>
          <w:sz w:val="22"/>
          <w:szCs w:val="22"/>
        </w:rPr>
        <w:t>tream</w:t>
      </w:r>
      <w:r w:rsidR="00D918CA">
        <w:rPr>
          <w:rFonts w:ascii="Palatino Linotype" w:hAnsi="Palatino Linotype"/>
          <w:sz w:val="22"/>
          <w:szCs w:val="22"/>
        </w:rPr>
        <w:t xml:space="preserve"> (</w:t>
      </w:r>
      <w:r w:rsidR="00AA4305">
        <w:rPr>
          <w:rFonts w:ascii="Palatino Linotype" w:hAnsi="Palatino Linotype"/>
          <w:sz w:val="22"/>
          <w:szCs w:val="22"/>
        </w:rPr>
        <w:t>conservation</w:t>
      </w:r>
      <w:r w:rsidR="00D918CA">
        <w:rPr>
          <w:rFonts w:ascii="Palatino Linotype" w:hAnsi="Palatino Linotype"/>
          <w:sz w:val="22"/>
          <w:szCs w:val="22"/>
        </w:rPr>
        <w:t xml:space="preserve"> regulations)</w:t>
      </w:r>
      <w:r w:rsidR="00AA4305">
        <w:rPr>
          <w:rFonts w:ascii="Palatino Linotype" w:hAnsi="Palatino Linotype"/>
          <w:sz w:val="22"/>
          <w:szCs w:val="22"/>
        </w:rPr>
        <w:t>, and utility/access easements</w:t>
      </w:r>
      <w:r w:rsidR="00D918CA">
        <w:rPr>
          <w:rFonts w:ascii="Palatino Linotype" w:hAnsi="Palatino Linotype"/>
          <w:sz w:val="22"/>
          <w:szCs w:val="22"/>
        </w:rPr>
        <w:t xml:space="preserve"> setbacks</w:t>
      </w:r>
      <w:r w:rsidR="00AA4305">
        <w:rPr>
          <w:rFonts w:ascii="Palatino Linotype" w:hAnsi="Palatino Linotype"/>
          <w:sz w:val="22"/>
          <w:szCs w:val="22"/>
        </w:rPr>
        <w:t>.</w:t>
      </w:r>
    </w:p>
    <w:p w:rsidR="00DA1CC9" w:rsidRDefault="00DA1CC9" w:rsidP="003467F5">
      <w:pPr>
        <w:ind w:firstLine="720"/>
        <w:rPr>
          <w:rFonts w:ascii="Palatino Linotype" w:hAnsi="Palatino Linotype"/>
          <w:sz w:val="22"/>
          <w:szCs w:val="22"/>
        </w:rPr>
      </w:pPr>
    </w:p>
    <w:p w:rsidR="00B95469" w:rsidRDefault="00D918CA" w:rsidP="003467F5">
      <w:pPr>
        <w:ind w:firstLine="720"/>
        <w:rPr>
          <w:rFonts w:ascii="Palatino Linotype" w:hAnsi="Palatino Linotype"/>
          <w:sz w:val="22"/>
          <w:szCs w:val="22"/>
        </w:rPr>
      </w:pPr>
      <w:r>
        <w:rPr>
          <w:rFonts w:ascii="Palatino Linotype" w:hAnsi="Palatino Linotype"/>
          <w:sz w:val="22"/>
          <w:szCs w:val="22"/>
        </w:rPr>
        <w:t>In general, r</w:t>
      </w:r>
      <w:r w:rsidR="007A6B50">
        <w:rPr>
          <w:rFonts w:ascii="Palatino Linotype" w:hAnsi="Palatino Linotype"/>
          <w:sz w:val="22"/>
          <w:szCs w:val="22"/>
        </w:rPr>
        <w:t xml:space="preserve">oad and building setbacks apply </w:t>
      </w:r>
      <w:r w:rsidR="000C5A98">
        <w:rPr>
          <w:rFonts w:ascii="Palatino Linotype" w:hAnsi="Palatino Linotype"/>
          <w:sz w:val="22"/>
          <w:szCs w:val="22"/>
        </w:rPr>
        <w:t xml:space="preserve">only </w:t>
      </w:r>
      <w:r w:rsidR="007A6B50">
        <w:rPr>
          <w:rFonts w:ascii="Palatino Linotype" w:hAnsi="Palatino Linotype"/>
          <w:sz w:val="22"/>
          <w:szCs w:val="22"/>
        </w:rPr>
        <w:t>to structures</w:t>
      </w:r>
      <w:r>
        <w:rPr>
          <w:rFonts w:ascii="Palatino Linotype" w:hAnsi="Palatino Linotype"/>
          <w:sz w:val="22"/>
          <w:szCs w:val="22"/>
        </w:rPr>
        <w:t xml:space="preserve"> </w:t>
      </w:r>
      <w:r w:rsidR="00DA1CC9">
        <w:rPr>
          <w:rFonts w:ascii="Palatino Linotype" w:hAnsi="Palatino Linotype"/>
          <w:sz w:val="22"/>
          <w:szCs w:val="22"/>
        </w:rPr>
        <w:t>and</w:t>
      </w:r>
      <w:r>
        <w:rPr>
          <w:rFonts w:ascii="Palatino Linotype" w:hAnsi="Palatino Linotype"/>
          <w:sz w:val="22"/>
          <w:szCs w:val="22"/>
        </w:rPr>
        <w:t xml:space="preserve"> not </w:t>
      </w:r>
      <w:r w:rsidR="00DA1CC9">
        <w:rPr>
          <w:rFonts w:ascii="Palatino Linotype" w:hAnsi="Palatino Linotype"/>
          <w:sz w:val="22"/>
          <w:szCs w:val="22"/>
        </w:rPr>
        <w:t xml:space="preserve">to </w:t>
      </w:r>
      <w:r>
        <w:rPr>
          <w:rFonts w:ascii="Palatino Linotype" w:hAnsi="Palatino Linotype"/>
          <w:sz w:val="22"/>
          <w:szCs w:val="22"/>
        </w:rPr>
        <w:t>other improvements such as pavement, walkways, landscaping, swimming pools, etc</w:t>
      </w:r>
      <w:r w:rsidR="007A6B50">
        <w:rPr>
          <w:rFonts w:ascii="Palatino Linotype" w:hAnsi="Palatino Linotype"/>
          <w:sz w:val="22"/>
          <w:szCs w:val="22"/>
        </w:rPr>
        <w:t>.</w:t>
      </w:r>
      <w:r w:rsidR="000C5A98">
        <w:rPr>
          <w:rFonts w:ascii="Palatino Linotype" w:hAnsi="Palatino Linotype"/>
          <w:sz w:val="22"/>
          <w:szCs w:val="22"/>
        </w:rPr>
        <w:t xml:space="preserve">  Such setbacks are measured from the wall of the structure with some allowances for unenclosed projections</w:t>
      </w:r>
      <w:r w:rsidR="00B95469">
        <w:rPr>
          <w:rFonts w:ascii="Palatino Linotype" w:hAnsi="Palatino Linotype"/>
          <w:sz w:val="22"/>
          <w:szCs w:val="22"/>
        </w:rPr>
        <w:t xml:space="preserve"> into setbacks</w:t>
      </w:r>
      <w:r w:rsidR="000C5A98">
        <w:rPr>
          <w:rFonts w:ascii="Palatino Linotype" w:hAnsi="Palatino Linotype"/>
          <w:sz w:val="22"/>
          <w:szCs w:val="22"/>
        </w:rPr>
        <w:t xml:space="preserve">, such as </w:t>
      </w:r>
      <w:r w:rsidR="00B95469">
        <w:rPr>
          <w:rFonts w:ascii="Palatino Linotype" w:hAnsi="Palatino Linotype"/>
          <w:sz w:val="22"/>
          <w:szCs w:val="22"/>
        </w:rPr>
        <w:t xml:space="preserve">a </w:t>
      </w:r>
      <w:r w:rsidR="000C5A98">
        <w:rPr>
          <w:rFonts w:ascii="Palatino Linotype" w:hAnsi="Palatino Linotype"/>
          <w:sz w:val="22"/>
          <w:szCs w:val="22"/>
        </w:rPr>
        <w:t>roof eave or covered porch.</w:t>
      </w:r>
      <w:r>
        <w:rPr>
          <w:rFonts w:ascii="Palatino Linotype" w:hAnsi="Palatino Linotype"/>
          <w:sz w:val="22"/>
          <w:szCs w:val="22"/>
        </w:rPr>
        <w:t xml:space="preserve"> </w:t>
      </w:r>
      <w:r w:rsidR="00B95469">
        <w:rPr>
          <w:rFonts w:ascii="Palatino Linotype" w:hAnsi="Palatino Linotype"/>
          <w:sz w:val="22"/>
          <w:szCs w:val="22"/>
        </w:rPr>
        <w:t>S</w:t>
      </w:r>
      <w:r w:rsidR="007A6B50">
        <w:rPr>
          <w:rFonts w:ascii="Palatino Linotype" w:hAnsi="Palatino Linotype"/>
          <w:sz w:val="22"/>
          <w:szCs w:val="22"/>
        </w:rPr>
        <w:t>tream, well</w:t>
      </w:r>
      <w:r>
        <w:rPr>
          <w:rFonts w:ascii="Palatino Linotype" w:hAnsi="Palatino Linotype"/>
          <w:sz w:val="22"/>
          <w:szCs w:val="22"/>
        </w:rPr>
        <w:t>, utility/access easements</w:t>
      </w:r>
      <w:r w:rsidR="007A6B50">
        <w:rPr>
          <w:rFonts w:ascii="Palatino Linotype" w:hAnsi="Palatino Linotype"/>
          <w:sz w:val="22"/>
          <w:szCs w:val="22"/>
        </w:rPr>
        <w:t xml:space="preserve"> and septic </w:t>
      </w:r>
      <w:r>
        <w:rPr>
          <w:rFonts w:ascii="Palatino Linotype" w:hAnsi="Palatino Linotype"/>
          <w:sz w:val="22"/>
          <w:szCs w:val="22"/>
        </w:rPr>
        <w:t>requirements</w:t>
      </w:r>
      <w:r w:rsidR="007A6B50">
        <w:rPr>
          <w:rFonts w:ascii="Palatino Linotype" w:hAnsi="Palatino Linotype"/>
          <w:sz w:val="22"/>
          <w:szCs w:val="22"/>
        </w:rPr>
        <w:t xml:space="preserve"> generally apply to </w:t>
      </w:r>
      <w:r w:rsidR="00B95469">
        <w:rPr>
          <w:rFonts w:ascii="Palatino Linotype" w:hAnsi="Palatino Linotype"/>
          <w:sz w:val="22"/>
          <w:szCs w:val="22"/>
        </w:rPr>
        <w:t xml:space="preserve">almost all </w:t>
      </w:r>
      <w:r>
        <w:rPr>
          <w:rFonts w:ascii="Palatino Linotype" w:hAnsi="Palatino Linotype"/>
          <w:sz w:val="22"/>
          <w:szCs w:val="22"/>
        </w:rPr>
        <w:t>improvements</w:t>
      </w:r>
      <w:r w:rsidR="00B95469">
        <w:rPr>
          <w:rFonts w:ascii="Palatino Linotype" w:hAnsi="Palatino Linotype"/>
          <w:sz w:val="22"/>
          <w:szCs w:val="22"/>
        </w:rPr>
        <w:t xml:space="preserve"> on a site including paved areas, hardscape, swimming pools</w:t>
      </w:r>
      <w:r w:rsidR="007A6B50">
        <w:rPr>
          <w:rFonts w:ascii="Palatino Linotype" w:hAnsi="Palatino Linotype"/>
          <w:sz w:val="22"/>
          <w:szCs w:val="22"/>
        </w:rPr>
        <w:t>.</w:t>
      </w:r>
    </w:p>
    <w:p w:rsidR="00B95469" w:rsidRDefault="00B95469" w:rsidP="003467F5">
      <w:pPr>
        <w:ind w:firstLine="720"/>
        <w:rPr>
          <w:rFonts w:ascii="Palatino Linotype" w:hAnsi="Palatino Linotype"/>
          <w:sz w:val="22"/>
          <w:szCs w:val="22"/>
        </w:rPr>
      </w:pPr>
    </w:p>
    <w:p w:rsidR="007A6B50" w:rsidRDefault="00B95469" w:rsidP="003467F5">
      <w:pPr>
        <w:ind w:firstLine="720"/>
        <w:rPr>
          <w:rFonts w:ascii="Palatino Linotype" w:hAnsi="Palatino Linotype"/>
          <w:sz w:val="22"/>
          <w:szCs w:val="22"/>
        </w:rPr>
      </w:pPr>
      <w:r>
        <w:rPr>
          <w:rFonts w:ascii="Palatino Linotype" w:hAnsi="Palatino Linotype"/>
          <w:sz w:val="22"/>
          <w:szCs w:val="22"/>
        </w:rPr>
        <w:t>P</w:t>
      </w:r>
      <w:r w:rsidR="006769D4">
        <w:rPr>
          <w:rFonts w:ascii="Palatino Linotype" w:hAnsi="Palatino Linotype"/>
          <w:sz w:val="22"/>
          <w:szCs w:val="22"/>
        </w:rPr>
        <w:t>arcels</w:t>
      </w:r>
      <w:r w:rsidR="00DA1CC9">
        <w:rPr>
          <w:rFonts w:ascii="Palatino Linotype" w:hAnsi="Palatino Linotype"/>
          <w:sz w:val="22"/>
          <w:szCs w:val="22"/>
        </w:rPr>
        <w:t xml:space="preserve"> containing uses that exceed </w:t>
      </w:r>
      <w:r w:rsidR="006769D4">
        <w:rPr>
          <w:rFonts w:ascii="Palatino Linotype" w:hAnsi="Palatino Linotype"/>
          <w:sz w:val="22"/>
          <w:szCs w:val="22"/>
        </w:rPr>
        <w:t xml:space="preserve">current code </w:t>
      </w:r>
      <w:r w:rsidR="00DA1CC9">
        <w:rPr>
          <w:rFonts w:ascii="Palatino Linotype" w:hAnsi="Palatino Linotype"/>
          <w:sz w:val="22"/>
          <w:szCs w:val="22"/>
        </w:rPr>
        <w:t>allowance</w:t>
      </w:r>
      <w:r w:rsidR="006769D4">
        <w:rPr>
          <w:rFonts w:ascii="Palatino Linotype" w:hAnsi="Palatino Linotype"/>
          <w:sz w:val="22"/>
          <w:szCs w:val="22"/>
        </w:rPr>
        <w:t>s</w:t>
      </w:r>
      <w:r w:rsidR="00DA1CC9">
        <w:rPr>
          <w:rFonts w:ascii="Palatino Linotype" w:hAnsi="Palatino Linotype"/>
          <w:sz w:val="22"/>
          <w:szCs w:val="22"/>
        </w:rPr>
        <w:t xml:space="preserve"> but which were legally established prior to adoption of applicable code section</w:t>
      </w:r>
      <w:r w:rsidR="005A518A">
        <w:rPr>
          <w:rFonts w:ascii="Palatino Linotype" w:hAnsi="Palatino Linotype"/>
          <w:sz w:val="22"/>
          <w:szCs w:val="22"/>
        </w:rPr>
        <w:t>s</w:t>
      </w:r>
      <w:r w:rsidR="00DA1CC9">
        <w:rPr>
          <w:rFonts w:ascii="Palatino Linotype" w:hAnsi="Palatino Linotype"/>
          <w:sz w:val="22"/>
          <w:szCs w:val="22"/>
        </w:rPr>
        <w:t xml:space="preserve"> are permitted to continue</w:t>
      </w:r>
      <w:r w:rsidR="006769D4">
        <w:rPr>
          <w:rFonts w:ascii="Palatino Linotype" w:hAnsi="Palatino Linotype"/>
          <w:sz w:val="22"/>
          <w:szCs w:val="22"/>
        </w:rPr>
        <w:t xml:space="preserve"> as pre-existing legal nonconformities</w:t>
      </w:r>
      <w:r w:rsidR="00DA1CC9">
        <w:rPr>
          <w:rFonts w:ascii="Palatino Linotype" w:hAnsi="Palatino Linotype"/>
          <w:sz w:val="22"/>
          <w:szCs w:val="22"/>
        </w:rPr>
        <w:t xml:space="preserve">.  By way of example, an AP parcel </w:t>
      </w:r>
      <w:r w:rsidR="006769D4">
        <w:rPr>
          <w:rFonts w:ascii="Palatino Linotype" w:hAnsi="Palatino Linotype"/>
          <w:sz w:val="22"/>
          <w:szCs w:val="22"/>
        </w:rPr>
        <w:t xml:space="preserve">that </w:t>
      </w:r>
      <w:r w:rsidR="00DA1CC9">
        <w:rPr>
          <w:rFonts w:ascii="Palatino Linotype" w:hAnsi="Palatino Linotype"/>
          <w:sz w:val="22"/>
          <w:szCs w:val="22"/>
        </w:rPr>
        <w:t>contain</w:t>
      </w:r>
      <w:r w:rsidR="006769D4">
        <w:rPr>
          <w:rFonts w:ascii="Palatino Linotype" w:hAnsi="Palatino Linotype"/>
          <w:sz w:val="22"/>
          <w:szCs w:val="22"/>
        </w:rPr>
        <w:t>s</w:t>
      </w:r>
      <w:r w:rsidR="00DA1CC9">
        <w:rPr>
          <w:rFonts w:ascii="Palatino Linotype" w:hAnsi="Palatino Linotype"/>
          <w:sz w:val="22"/>
          <w:szCs w:val="22"/>
        </w:rPr>
        <w:t xml:space="preserve"> three single family residences</w:t>
      </w:r>
      <w:r w:rsidR="005A518A">
        <w:rPr>
          <w:rFonts w:ascii="Palatino Linotype" w:hAnsi="Palatino Linotype"/>
          <w:sz w:val="22"/>
          <w:szCs w:val="22"/>
        </w:rPr>
        <w:t>,</w:t>
      </w:r>
      <w:r w:rsidR="00DA1CC9">
        <w:rPr>
          <w:rFonts w:ascii="Palatino Linotype" w:hAnsi="Palatino Linotype"/>
          <w:sz w:val="22"/>
          <w:szCs w:val="22"/>
        </w:rPr>
        <w:t xml:space="preserve"> when only one is currently permitted</w:t>
      </w:r>
      <w:r w:rsidR="005A518A">
        <w:rPr>
          <w:rFonts w:ascii="Palatino Linotype" w:hAnsi="Palatino Linotype"/>
          <w:sz w:val="22"/>
          <w:szCs w:val="22"/>
        </w:rPr>
        <w:t>,</w:t>
      </w:r>
      <w:r w:rsidR="00DA1CC9">
        <w:rPr>
          <w:rFonts w:ascii="Palatino Linotype" w:hAnsi="Palatino Linotype"/>
          <w:sz w:val="22"/>
          <w:szCs w:val="22"/>
        </w:rPr>
        <w:t xml:space="preserve"> can add a new use </w:t>
      </w:r>
      <w:r w:rsidR="005A518A">
        <w:rPr>
          <w:rFonts w:ascii="Palatino Linotype" w:hAnsi="Palatino Linotype"/>
          <w:sz w:val="22"/>
          <w:szCs w:val="22"/>
        </w:rPr>
        <w:t xml:space="preserve">that is not another residence, </w:t>
      </w:r>
      <w:r w:rsidR="00DA1CC9">
        <w:rPr>
          <w:rFonts w:ascii="Palatino Linotype" w:hAnsi="Palatino Linotype"/>
          <w:sz w:val="22"/>
          <w:szCs w:val="22"/>
        </w:rPr>
        <w:t>such as a barn or winery</w:t>
      </w:r>
      <w:r w:rsidR="006769D4">
        <w:rPr>
          <w:rFonts w:ascii="Palatino Linotype" w:hAnsi="Palatino Linotype"/>
          <w:sz w:val="22"/>
          <w:szCs w:val="22"/>
        </w:rPr>
        <w:t xml:space="preserve"> (with use permit)</w:t>
      </w:r>
      <w:r w:rsidR="005A518A">
        <w:rPr>
          <w:rFonts w:ascii="Palatino Linotype" w:hAnsi="Palatino Linotype"/>
          <w:sz w:val="22"/>
          <w:szCs w:val="22"/>
        </w:rPr>
        <w:t>.  However, the</w:t>
      </w:r>
      <w:r w:rsidR="00DA1CC9">
        <w:rPr>
          <w:rFonts w:ascii="Palatino Linotype" w:hAnsi="Palatino Linotype"/>
          <w:sz w:val="22"/>
          <w:szCs w:val="22"/>
        </w:rPr>
        <w:t xml:space="preserve"> new use </w:t>
      </w:r>
      <w:r w:rsidR="005A518A">
        <w:rPr>
          <w:rFonts w:ascii="Palatino Linotype" w:hAnsi="Palatino Linotype"/>
          <w:sz w:val="22"/>
          <w:szCs w:val="22"/>
        </w:rPr>
        <w:t>cannot</w:t>
      </w:r>
      <w:r w:rsidR="00DA1CC9">
        <w:rPr>
          <w:rFonts w:ascii="Palatino Linotype" w:hAnsi="Palatino Linotype"/>
          <w:sz w:val="22"/>
          <w:szCs w:val="22"/>
        </w:rPr>
        <w:t xml:space="preserve"> increase the degree of non-conformity of the pre-existing legal</w:t>
      </w:r>
      <w:r w:rsidR="006769D4">
        <w:rPr>
          <w:rFonts w:ascii="Palatino Linotype" w:hAnsi="Palatino Linotype"/>
          <w:sz w:val="22"/>
          <w:szCs w:val="22"/>
        </w:rPr>
        <w:t xml:space="preserve"> nonconformity</w:t>
      </w:r>
      <w:r w:rsidR="005A518A">
        <w:rPr>
          <w:rFonts w:ascii="Palatino Linotype" w:hAnsi="Palatino Linotype"/>
          <w:sz w:val="22"/>
          <w:szCs w:val="22"/>
        </w:rPr>
        <w:t>, such as making a nonconforming residence larger</w:t>
      </w:r>
      <w:r w:rsidR="00DA1CC9">
        <w:rPr>
          <w:rFonts w:ascii="Palatino Linotype" w:hAnsi="Palatino Linotype"/>
          <w:sz w:val="22"/>
          <w:szCs w:val="22"/>
        </w:rPr>
        <w:t xml:space="preserve">. </w:t>
      </w:r>
      <w:r w:rsidR="007A6B50">
        <w:rPr>
          <w:rFonts w:ascii="Palatino Linotype" w:hAnsi="Palatino Linotype"/>
          <w:sz w:val="22"/>
          <w:szCs w:val="22"/>
        </w:rPr>
        <w:t xml:space="preserve">  </w:t>
      </w:r>
    </w:p>
    <w:p w:rsidR="007A6B50" w:rsidRDefault="007A6B50" w:rsidP="003467F5">
      <w:pPr>
        <w:ind w:firstLine="720"/>
        <w:rPr>
          <w:rFonts w:ascii="Palatino Linotype" w:hAnsi="Palatino Linotype"/>
          <w:sz w:val="22"/>
          <w:szCs w:val="22"/>
        </w:rPr>
      </w:pPr>
    </w:p>
    <w:p w:rsidR="00AA4305" w:rsidRDefault="006769D4" w:rsidP="003467F5">
      <w:pPr>
        <w:ind w:firstLine="720"/>
        <w:rPr>
          <w:rFonts w:ascii="Palatino Linotype" w:hAnsi="Palatino Linotype"/>
          <w:sz w:val="22"/>
          <w:szCs w:val="22"/>
        </w:rPr>
      </w:pPr>
      <w:r>
        <w:rPr>
          <w:rFonts w:ascii="Palatino Linotype" w:hAnsi="Palatino Linotype"/>
          <w:sz w:val="22"/>
          <w:szCs w:val="22"/>
        </w:rPr>
        <w:t>Permitted uses require only a building permit and the County is obligated to issue the permit if the applicant demonstrates compliance with all applicable standards.  Conditional uses require issuance of a discretionary use permit</w:t>
      </w:r>
      <w:r w:rsidR="005A518A">
        <w:rPr>
          <w:rFonts w:ascii="Palatino Linotype" w:hAnsi="Palatino Linotype"/>
          <w:sz w:val="22"/>
          <w:szCs w:val="22"/>
        </w:rPr>
        <w:t xml:space="preserve"> through the public hearing process,</w:t>
      </w:r>
      <w:r>
        <w:rPr>
          <w:rFonts w:ascii="Palatino Linotype" w:hAnsi="Palatino Linotype"/>
          <w:sz w:val="22"/>
          <w:szCs w:val="22"/>
        </w:rPr>
        <w:t xml:space="preserve"> which may be approved as proposed, modified, or denied </w:t>
      </w:r>
      <w:r w:rsidR="00B95469">
        <w:rPr>
          <w:rFonts w:ascii="Palatino Linotype" w:hAnsi="Palatino Linotype"/>
          <w:sz w:val="22"/>
          <w:szCs w:val="22"/>
        </w:rPr>
        <w:t xml:space="preserve">by the decision maker (generally the Planning Commission) based on findings supported by the General Plan and Zoning Ordinance.  </w:t>
      </w:r>
      <w:r w:rsidR="005A518A">
        <w:rPr>
          <w:rFonts w:ascii="Palatino Linotype" w:hAnsi="Palatino Linotype"/>
          <w:sz w:val="22"/>
          <w:szCs w:val="22"/>
        </w:rPr>
        <w:t>Applicants requesting p</w:t>
      </w:r>
      <w:r w:rsidR="00B95469">
        <w:rPr>
          <w:rFonts w:ascii="Palatino Linotype" w:hAnsi="Palatino Linotype"/>
          <w:sz w:val="22"/>
          <w:szCs w:val="22"/>
        </w:rPr>
        <w:t xml:space="preserve">ermitted uses that do not meet all requirements may </w:t>
      </w:r>
      <w:r w:rsidR="005A518A">
        <w:rPr>
          <w:rFonts w:ascii="Palatino Linotype" w:hAnsi="Palatino Linotype"/>
          <w:sz w:val="22"/>
          <w:szCs w:val="22"/>
        </w:rPr>
        <w:t>seek</w:t>
      </w:r>
      <w:r w:rsidR="00B95469">
        <w:rPr>
          <w:rFonts w:ascii="Palatino Linotype" w:hAnsi="Palatino Linotype"/>
          <w:sz w:val="22"/>
          <w:szCs w:val="22"/>
        </w:rPr>
        <w:t xml:space="preserve"> relief from certain (but not all) standards by filing a </w:t>
      </w:r>
      <w:r w:rsidR="00B95469">
        <w:rPr>
          <w:rFonts w:ascii="Palatino Linotype" w:hAnsi="Palatino Linotype"/>
          <w:sz w:val="22"/>
          <w:szCs w:val="22"/>
        </w:rPr>
        <w:lastRenderedPageBreak/>
        <w:t>Variance or Use Permit Exception application</w:t>
      </w:r>
      <w:r w:rsidR="005A518A">
        <w:rPr>
          <w:rFonts w:ascii="Palatino Linotype" w:hAnsi="Palatino Linotype"/>
          <w:sz w:val="22"/>
          <w:szCs w:val="22"/>
        </w:rPr>
        <w:t xml:space="preserve">.  Such applications are </w:t>
      </w:r>
      <w:proofErr w:type="gramStart"/>
      <w:r w:rsidR="005A518A">
        <w:rPr>
          <w:rFonts w:ascii="Palatino Linotype" w:hAnsi="Palatino Linotype"/>
          <w:sz w:val="22"/>
          <w:szCs w:val="22"/>
        </w:rPr>
        <w:t>render</w:t>
      </w:r>
      <w:proofErr w:type="gramEnd"/>
      <w:r w:rsidR="005A518A">
        <w:rPr>
          <w:rFonts w:ascii="Palatino Linotype" w:hAnsi="Palatino Linotype"/>
          <w:sz w:val="22"/>
          <w:szCs w:val="22"/>
        </w:rPr>
        <w:t xml:space="preserve"> the permitted use a </w:t>
      </w:r>
      <w:r w:rsidR="00B95469">
        <w:rPr>
          <w:rFonts w:ascii="Palatino Linotype" w:hAnsi="Palatino Linotype"/>
          <w:sz w:val="22"/>
          <w:szCs w:val="22"/>
        </w:rPr>
        <w:t>discretionary action</w:t>
      </w:r>
      <w:r w:rsidR="005A518A">
        <w:rPr>
          <w:rFonts w:ascii="Palatino Linotype" w:hAnsi="Palatino Linotype"/>
          <w:sz w:val="22"/>
          <w:szCs w:val="22"/>
        </w:rPr>
        <w:t>, and thus</w:t>
      </w:r>
      <w:r w:rsidR="00B95469">
        <w:rPr>
          <w:rFonts w:ascii="Palatino Linotype" w:hAnsi="Palatino Linotype"/>
          <w:sz w:val="22"/>
          <w:szCs w:val="22"/>
        </w:rPr>
        <w:t xml:space="preserve"> may be approved, denied or modified by the decision maker</w:t>
      </w:r>
      <w:r>
        <w:rPr>
          <w:rFonts w:ascii="Palatino Linotype" w:hAnsi="Palatino Linotype"/>
          <w:sz w:val="22"/>
          <w:szCs w:val="22"/>
        </w:rPr>
        <w:t>.</w:t>
      </w:r>
      <w:r w:rsidR="00B95469">
        <w:rPr>
          <w:rFonts w:ascii="Palatino Linotype" w:hAnsi="Palatino Linotype"/>
          <w:sz w:val="22"/>
          <w:szCs w:val="22"/>
        </w:rPr>
        <w:t xml:space="preserve">  A Variance cannot be issued for a land use, such as adding more dwelling units.  Variances can only grant relief to a development standard, such as a building setback.</w:t>
      </w:r>
    </w:p>
    <w:p w:rsidR="00AA4305" w:rsidRDefault="00AA4305" w:rsidP="003467F5">
      <w:pPr>
        <w:ind w:firstLine="720"/>
        <w:rPr>
          <w:rFonts w:ascii="Palatino Linotype" w:hAnsi="Palatino Linotype"/>
          <w:sz w:val="22"/>
          <w:szCs w:val="22"/>
        </w:rPr>
      </w:pPr>
    </w:p>
    <w:p w:rsidR="00B95469" w:rsidRDefault="00B95469" w:rsidP="003467F5">
      <w:pPr>
        <w:ind w:firstLine="720"/>
        <w:rPr>
          <w:rFonts w:ascii="Palatino Linotype" w:hAnsi="Palatino Linotype"/>
          <w:sz w:val="22"/>
          <w:szCs w:val="22"/>
        </w:rPr>
      </w:pPr>
      <w:r>
        <w:rPr>
          <w:rFonts w:ascii="Palatino Linotype" w:hAnsi="Palatino Linotype"/>
          <w:sz w:val="22"/>
          <w:szCs w:val="22"/>
        </w:rPr>
        <w:t xml:space="preserve">Summarized below are the applicable zoning requirements for permitted and conditionally permitted uses with the AW and AP zoning districts.  </w:t>
      </w:r>
    </w:p>
    <w:p w:rsidR="00B95469" w:rsidRDefault="00B95469" w:rsidP="003467F5">
      <w:pPr>
        <w:ind w:firstLine="720"/>
        <w:rPr>
          <w:rFonts w:ascii="Palatino Linotype" w:hAnsi="Palatino Linotype"/>
          <w:sz w:val="22"/>
          <w:szCs w:val="22"/>
        </w:rPr>
      </w:pPr>
    </w:p>
    <w:p w:rsidR="00AA4305" w:rsidRDefault="00AA4305" w:rsidP="003467F5">
      <w:pPr>
        <w:ind w:firstLine="720"/>
        <w:rPr>
          <w:rFonts w:ascii="Palatino Linotype" w:hAnsi="Palatino Linotype"/>
          <w:sz w:val="22"/>
          <w:szCs w:val="22"/>
        </w:rPr>
      </w:pPr>
      <w:r>
        <w:rPr>
          <w:rFonts w:ascii="Palatino Linotype" w:hAnsi="Palatino Linotype"/>
          <w:sz w:val="22"/>
          <w:szCs w:val="22"/>
        </w:rPr>
        <w:t>Winery Coverage Requirements:</w:t>
      </w:r>
    </w:p>
    <w:p w:rsidR="00AA4305" w:rsidRDefault="00D105DC" w:rsidP="00D105DC">
      <w:pPr>
        <w:pStyle w:val="ListParagraph"/>
        <w:numPr>
          <w:ilvl w:val="0"/>
          <w:numId w:val="13"/>
        </w:numPr>
        <w:rPr>
          <w:rFonts w:ascii="Palatino Linotype" w:hAnsi="Palatino Linotype"/>
          <w:sz w:val="22"/>
          <w:szCs w:val="22"/>
        </w:rPr>
      </w:pPr>
      <w:r>
        <w:rPr>
          <w:rFonts w:ascii="Palatino Linotype" w:hAnsi="Palatino Linotype"/>
          <w:sz w:val="22"/>
          <w:szCs w:val="22"/>
        </w:rPr>
        <w:t>Minimum gross lot size of 10 acres</w:t>
      </w:r>
    </w:p>
    <w:p w:rsidR="00D105DC" w:rsidRDefault="00D105DC" w:rsidP="00D105DC">
      <w:pPr>
        <w:pStyle w:val="ListParagraph"/>
        <w:numPr>
          <w:ilvl w:val="0"/>
          <w:numId w:val="13"/>
        </w:numPr>
        <w:rPr>
          <w:rFonts w:ascii="Palatino Linotype" w:hAnsi="Palatino Linotype"/>
          <w:sz w:val="22"/>
          <w:szCs w:val="22"/>
        </w:rPr>
      </w:pPr>
      <w:r>
        <w:rPr>
          <w:rFonts w:ascii="Palatino Linotype" w:hAnsi="Palatino Linotype"/>
          <w:sz w:val="22"/>
          <w:szCs w:val="22"/>
        </w:rPr>
        <w:t xml:space="preserve">25% of the parcel or 15 acres, whichever is </w:t>
      </w:r>
      <w:r w:rsidR="00114BAC">
        <w:rPr>
          <w:rFonts w:ascii="Palatino Linotype" w:hAnsi="Palatino Linotype"/>
          <w:sz w:val="22"/>
          <w:szCs w:val="22"/>
        </w:rPr>
        <w:t>less (Coverage is “</w:t>
      </w:r>
      <w:r w:rsidR="00114BAC" w:rsidRPr="00114BAC">
        <w:rPr>
          <w:rFonts w:ascii="Palatino Linotype" w:hAnsi="Palatino Linotype"/>
          <w:i/>
          <w:sz w:val="22"/>
          <w:szCs w:val="22"/>
        </w:rPr>
        <w:t>…aggregate pave or impervious ground surface areas of the production facility, storage areas (except caves), offices, laboratories, kitchens, tasting rooms, paved areas and access roads to public or private roads or rights-of-way and aboveground sewage treatment systems.</w:t>
      </w:r>
      <w:r w:rsidR="00114BAC">
        <w:rPr>
          <w:rFonts w:ascii="Palatino Linotype" w:hAnsi="Palatino Linotype"/>
          <w:sz w:val="22"/>
          <w:szCs w:val="22"/>
        </w:rPr>
        <w:t>” County Code Section 18.104.220</w:t>
      </w:r>
    </w:p>
    <w:p w:rsidR="00114BAC" w:rsidRDefault="00114BAC" w:rsidP="00D105DC">
      <w:pPr>
        <w:pStyle w:val="ListParagraph"/>
        <w:numPr>
          <w:ilvl w:val="0"/>
          <w:numId w:val="13"/>
        </w:numPr>
        <w:rPr>
          <w:rFonts w:ascii="Palatino Linotype" w:hAnsi="Palatino Linotype"/>
          <w:sz w:val="22"/>
          <w:szCs w:val="22"/>
        </w:rPr>
      </w:pPr>
      <w:r>
        <w:rPr>
          <w:rFonts w:ascii="Palatino Linotype" w:hAnsi="Palatino Linotype"/>
          <w:sz w:val="22"/>
          <w:szCs w:val="22"/>
        </w:rPr>
        <w:t xml:space="preserve">600 ft. setback </w:t>
      </w:r>
      <w:r w:rsidR="007A6B50">
        <w:rPr>
          <w:rFonts w:ascii="Palatino Linotype" w:hAnsi="Palatino Linotype"/>
          <w:sz w:val="22"/>
          <w:szCs w:val="22"/>
        </w:rPr>
        <w:t xml:space="preserve">from </w:t>
      </w:r>
      <w:r>
        <w:rPr>
          <w:rFonts w:ascii="Palatino Linotype" w:hAnsi="Palatino Linotype"/>
          <w:sz w:val="22"/>
          <w:szCs w:val="22"/>
        </w:rPr>
        <w:t xml:space="preserve">arterial roads, </w:t>
      </w:r>
      <w:r w:rsidR="007A6B50">
        <w:rPr>
          <w:rFonts w:ascii="Palatino Linotype" w:hAnsi="Palatino Linotype"/>
          <w:sz w:val="22"/>
          <w:szCs w:val="22"/>
        </w:rPr>
        <w:t xml:space="preserve">and </w:t>
      </w:r>
      <w:r>
        <w:rPr>
          <w:rFonts w:ascii="Palatino Linotype" w:hAnsi="Palatino Linotype"/>
          <w:sz w:val="22"/>
          <w:szCs w:val="22"/>
        </w:rPr>
        <w:t>300 ft. setback all other public and private roads (variances not withstanding)</w:t>
      </w:r>
      <w:r w:rsidR="00D918CA">
        <w:rPr>
          <w:rFonts w:ascii="Palatino Linotype" w:hAnsi="Palatino Linotype"/>
          <w:sz w:val="22"/>
          <w:szCs w:val="22"/>
        </w:rPr>
        <w:t xml:space="preserve"> </w:t>
      </w:r>
      <w:r w:rsidR="007A6B50">
        <w:rPr>
          <w:rFonts w:ascii="Palatino Linotype" w:hAnsi="Palatino Linotype"/>
          <w:sz w:val="22"/>
          <w:szCs w:val="22"/>
        </w:rPr>
        <w:t>*</w:t>
      </w:r>
    </w:p>
    <w:p w:rsidR="00114BAC" w:rsidRDefault="00114BAC" w:rsidP="00D105DC">
      <w:pPr>
        <w:pStyle w:val="ListParagraph"/>
        <w:numPr>
          <w:ilvl w:val="0"/>
          <w:numId w:val="13"/>
        </w:numPr>
        <w:rPr>
          <w:rFonts w:ascii="Palatino Linotype" w:hAnsi="Palatino Linotype"/>
          <w:sz w:val="22"/>
          <w:szCs w:val="22"/>
        </w:rPr>
      </w:pPr>
      <w:r>
        <w:rPr>
          <w:rFonts w:ascii="Palatino Linotype" w:hAnsi="Palatino Linotype"/>
          <w:sz w:val="22"/>
          <w:szCs w:val="22"/>
        </w:rPr>
        <w:t>20 ft. building (</w:t>
      </w:r>
      <w:r w:rsidR="00D918CA">
        <w:rPr>
          <w:rFonts w:ascii="Palatino Linotype" w:hAnsi="Palatino Linotype"/>
          <w:sz w:val="22"/>
          <w:szCs w:val="22"/>
        </w:rPr>
        <w:t xml:space="preserve">structure </w:t>
      </w:r>
      <w:r>
        <w:rPr>
          <w:rFonts w:ascii="Palatino Linotype" w:hAnsi="Palatino Linotype"/>
          <w:sz w:val="22"/>
          <w:szCs w:val="22"/>
        </w:rPr>
        <w:t>only) setback from property lines</w:t>
      </w:r>
    </w:p>
    <w:p w:rsidR="00114BAC" w:rsidRPr="00D105DC" w:rsidRDefault="00114BAC" w:rsidP="00D105DC">
      <w:pPr>
        <w:pStyle w:val="ListParagraph"/>
        <w:numPr>
          <w:ilvl w:val="0"/>
          <w:numId w:val="13"/>
        </w:numPr>
        <w:rPr>
          <w:rFonts w:ascii="Palatino Linotype" w:hAnsi="Palatino Linotype"/>
          <w:sz w:val="22"/>
          <w:szCs w:val="22"/>
        </w:rPr>
      </w:pPr>
      <w:r>
        <w:rPr>
          <w:rFonts w:ascii="Palatino Linotype" w:hAnsi="Palatino Linotype"/>
          <w:sz w:val="22"/>
          <w:szCs w:val="22"/>
        </w:rPr>
        <w:t>Stream setback ranging from 35 ft. to 150 ft. from top of bank of defined stream reaches</w:t>
      </w:r>
    </w:p>
    <w:p w:rsidR="00AA4305" w:rsidRDefault="00AA4305" w:rsidP="003467F5">
      <w:pPr>
        <w:ind w:firstLine="720"/>
        <w:rPr>
          <w:rFonts w:ascii="Palatino Linotype" w:hAnsi="Palatino Linotype"/>
          <w:sz w:val="22"/>
          <w:szCs w:val="22"/>
        </w:rPr>
      </w:pPr>
    </w:p>
    <w:p w:rsidR="00D105DC" w:rsidRDefault="00D105DC" w:rsidP="00D105DC">
      <w:pPr>
        <w:ind w:firstLine="720"/>
        <w:rPr>
          <w:rFonts w:ascii="Palatino Linotype" w:hAnsi="Palatino Linotype"/>
          <w:sz w:val="22"/>
          <w:szCs w:val="22"/>
        </w:rPr>
      </w:pPr>
      <w:r>
        <w:rPr>
          <w:rFonts w:ascii="Palatino Linotype" w:hAnsi="Palatino Linotype"/>
          <w:sz w:val="22"/>
          <w:szCs w:val="22"/>
        </w:rPr>
        <w:t>Single Family Residence Requirements:</w:t>
      </w:r>
    </w:p>
    <w:p w:rsidR="00D105DC" w:rsidRDefault="00114BAC" w:rsidP="00D105DC">
      <w:pPr>
        <w:pStyle w:val="ListParagraph"/>
        <w:numPr>
          <w:ilvl w:val="0"/>
          <w:numId w:val="13"/>
        </w:numPr>
        <w:rPr>
          <w:rFonts w:ascii="Palatino Linotype" w:hAnsi="Palatino Linotype"/>
          <w:sz w:val="22"/>
          <w:szCs w:val="22"/>
        </w:rPr>
      </w:pPr>
      <w:r>
        <w:rPr>
          <w:rFonts w:ascii="Palatino Linotype" w:hAnsi="Palatino Linotype"/>
          <w:sz w:val="22"/>
          <w:szCs w:val="22"/>
        </w:rPr>
        <w:t>No minimum lot area – parcel must be a legal lot of record</w:t>
      </w:r>
    </w:p>
    <w:p w:rsidR="00EC43A6" w:rsidRDefault="00EC43A6" w:rsidP="00D105DC">
      <w:pPr>
        <w:pStyle w:val="ListParagraph"/>
        <w:numPr>
          <w:ilvl w:val="0"/>
          <w:numId w:val="13"/>
        </w:numPr>
        <w:rPr>
          <w:rFonts w:ascii="Palatino Linotype" w:hAnsi="Palatino Linotype"/>
          <w:sz w:val="22"/>
          <w:szCs w:val="22"/>
        </w:rPr>
      </w:pPr>
      <w:r>
        <w:rPr>
          <w:rFonts w:ascii="Palatino Linotype" w:hAnsi="Palatino Linotype"/>
          <w:sz w:val="22"/>
          <w:szCs w:val="22"/>
        </w:rPr>
        <w:t>No lot coverage requirement</w:t>
      </w:r>
    </w:p>
    <w:p w:rsidR="00D105DC" w:rsidRDefault="00114BAC" w:rsidP="00D105DC">
      <w:pPr>
        <w:pStyle w:val="ListParagraph"/>
        <w:numPr>
          <w:ilvl w:val="0"/>
          <w:numId w:val="13"/>
        </w:numPr>
        <w:rPr>
          <w:rFonts w:ascii="Palatino Linotype" w:hAnsi="Palatino Linotype"/>
          <w:sz w:val="22"/>
          <w:szCs w:val="22"/>
        </w:rPr>
      </w:pPr>
      <w:r>
        <w:rPr>
          <w:rFonts w:ascii="Palatino Linotype" w:hAnsi="Palatino Linotype"/>
          <w:sz w:val="22"/>
          <w:szCs w:val="22"/>
        </w:rPr>
        <w:t>Road setback</w:t>
      </w:r>
      <w:r w:rsidR="00EC43A6">
        <w:rPr>
          <w:rFonts w:ascii="Palatino Linotype" w:hAnsi="Palatino Linotype"/>
          <w:sz w:val="22"/>
          <w:szCs w:val="22"/>
        </w:rPr>
        <w:t>, for structures only,</w:t>
      </w:r>
      <w:r>
        <w:rPr>
          <w:rFonts w:ascii="Palatino Linotype" w:hAnsi="Palatino Linotype"/>
          <w:sz w:val="22"/>
          <w:szCs w:val="22"/>
        </w:rPr>
        <w:t xml:space="preserve"> ranging from 28 ft. from private roads to 70 ft. from arterial roads</w:t>
      </w:r>
    </w:p>
    <w:p w:rsidR="00114BAC" w:rsidRDefault="00114BAC" w:rsidP="00D105DC">
      <w:pPr>
        <w:pStyle w:val="ListParagraph"/>
        <w:numPr>
          <w:ilvl w:val="0"/>
          <w:numId w:val="13"/>
        </w:numPr>
        <w:rPr>
          <w:rFonts w:ascii="Palatino Linotype" w:hAnsi="Palatino Linotype"/>
          <w:sz w:val="22"/>
          <w:szCs w:val="22"/>
        </w:rPr>
      </w:pPr>
      <w:r>
        <w:rPr>
          <w:rFonts w:ascii="Palatino Linotype" w:hAnsi="Palatino Linotype"/>
          <w:sz w:val="22"/>
          <w:szCs w:val="22"/>
        </w:rPr>
        <w:t>Building setback of 20 ft. from all property lines, and road setbacks</w:t>
      </w:r>
      <w:r w:rsidR="00EC43A6">
        <w:rPr>
          <w:rFonts w:ascii="Palatino Linotype" w:hAnsi="Palatino Linotype"/>
          <w:sz w:val="22"/>
          <w:szCs w:val="22"/>
        </w:rPr>
        <w:t xml:space="preserve"> </w:t>
      </w:r>
      <w:r>
        <w:rPr>
          <w:rFonts w:ascii="Palatino Linotype" w:hAnsi="Palatino Linotype"/>
          <w:sz w:val="22"/>
          <w:szCs w:val="22"/>
        </w:rPr>
        <w:t>*</w:t>
      </w:r>
      <w:r w:rsidR="007A6B50">
        <w:rPr>
          <w:rFonts w:ascii="Palatino Linotype" w:hAnsi="Palatino Linotype"/>
          <w:sz w:val="22"/>
          <w:szCs w:val="22"/>
        </w:rPr>
        <w:t>*</w:t>
      </w:r>
    </w:p>
    <w:p w:rsidR="00EC43A6" w:rsidRDefault="00EC43A6" w:rsidP="00D105DC">
      <w:pPr>
        <w:pStyle w:val="ListParagraph"/>
        <w:numPr>
          <w:ilvl w:val="0"/>
          <w:numId w:val="13"/>
        </w:numPr>
        <w:rPr>
          <w:rFonts w:ascii="Palatino Linotype" w:hAnsi="Palatino Linotype"/>
          <w:sz w:val="22"/>
          <w:szCs w:val="22"/>
        </w:rPr>
      </w:pPr>
      <w:r>
        <w:rPr>
          <w:rFonts w:ascii="Palatino Linotype" w:hAnsi="Palatino Linotype"/>
          <w:sz w:val="22"/>
          <w:szCs w:val="22"/>
        </w:rPr>
        <w:t>Well 100 ft. from both on site and off site septic systems</w:t>
      </w:r>
    </w:p>
    <w:p w:rsidR="00EC43A6" w:rsidRDefault="00EC43A6" w:rsidP="00D105DC">
      <w:pPr>
        <w:pStyle w:val="ListParagraph"/>
        <w:numPr>
          <w:ilvl w:val="0"/>
          <w:numId w:val="13"/>
        </w:numPr>
        <w:rPr>
          <w:rFonts w:ascii="Palatino Linotype" w:hAnsi="Palatino Linotype"/>
          <w:sz w:val="22"/>
          <w:szCs w:val="22"/>
        </w:rPr>
      </w:pPr>
      <w:r>
        <w:rPr>
          <w:rFonts w:ascii="Palatino Linotype" w:hAnsi="Palatino Linotype"/>
          <w:sz w:val="22"/>
          <w:szCs w:val="22"/>
        </w:rPr>
        <w:t>Septic system outside of road setback</w:t>
      </w:r>
    </w:p>
    <w:p w:rsidR="00EC43A6" w:rsidRPr="00D105DC" w:rsidRDefault="00EC43A6" w:rsidP="00D105DC">
      <w:pPr>
        <w:pStyle w:val="ListParagraph"/>
        <w:numPr>
          <w:ilvl w:val="0"/>
          <w:numId w:val="13"/>
        </w:numPr>
        <w:rPr>
          <w:rFonts w:ascii="Palatino Linotype" w:hAnsi="Palatino Linotype"/>
          <w:sz w:val="22"/>
          <w:szCs w:val="22"/>
        </w:rPr>
      </w:pPr>
      <w:r>
        <w:rPr>
          <w:rFonts w:ascii="Palatino Linotype" w:hAnsi="Palatino Linotype"/>
          <w:sz w:val="22"/>
          <w:szCs w:val="22"/>
        </w:rPr>
        <w:t>100% reserve area designated on site for potential replacement septic system in the event initial septic system fails</w:t>
      </w:r>
    </w:p>
    <w:p w:rsidR="00D105DC" w:rsidRDefault="00D105DC" w:rsidP="00D105DC">
      <w:pPr>
        <w:ind w:firstLine="720"/>
        <w:rPr>
          <w:rFonts w:ascii="Palatino Linotype" w:hAnsi="Palatino Linotype"/>
          <w:sz w:val="22"/>
          <w:szCs w:val="22"/>
        </w:rPr>
      </w:pPr>
    </w:p>
    <w:p w:rsidR="00D105DC" w:rsidRDefault="00D105DC" w:rsidP="00D105DC">
      <w:pPr>
        <w:ind w:firstLine="720"/>
        <w:rPr>
          <w:rFonts w:ascii="Palatino Linotype" w:hAnsi="Palatino Linotype"/>
          <w:sz w:val="22"/>
          <w:szCs w:val="22"/>
        </w:rPr>
      </w:pPr>
      <w:r>
        <w:rPr>
          <w:rFonts w:ascii="Palatino Linotype" w:hAnsi="Palatino Linotype"/>
          <w:sz w:val="22"/>
          <w:szCs w:val="22"/>
        </w:rPr>
        <w:t>Secondary Dwelling Unit Requirements:</w:t>
      </w:r>
    </w:p>
    <w:p w:rsidR="00D105DC" w:rsidRDefault="00D918CA" w:rsidP="00D105DC">
      <w:pPr>
        <w:pStyle w:val="ListParagraph"/>
        <w:numPr>
          <w:ilvl w:val="0"/>
          <w:numId w:val="13"/>
        </w:numPr>
        <w:rPr>
          <w:rFonts w:ascii="Palatino Linotype" w:hAnsi="Palatino Linotype"/>
          <w:sz w:val="22"/>
          <w:szCs w:val="22"/>
        </w:rPr>
      </w:pPr>
      <w:r>
        <w:rPr>
          <w:rFonts w:ascii="Palatino Linotype" w:hAnsi="Palatino Linotype"/>
          <w:sz w:val="22"/>
          <w:szCs w:val="22"/>
        </w:rPr>
        <w:t>Second units only permitted within AW zoning district</w:t>
      </w:r>
    </w:p>
    <w:p w:rsidR="00D918CA" w:rsidRDefault="00D918CA" w:rsidP="00D105DC">
      <w:pPr>
        <w:pStyle w:val="ListParagraph"/>
        <w:numPr>
          <w:ilvl w:val="0"/>
          <w:numId w:val="13"/>
        </w:numPr>
        <w:rPr>
          <w:rFonts w:ascii="Palatino Linotype" w:hAnsi="Palatino Linotype"/>
          <w:sz w:val="22"/>
          <w:szCs w:val="22"/>
        </w:rPr>
      </w:pPr>
      <w:r>
        <w:rPr>
          <w:rFonts w:ascii="Palatino Linotype" w:hAnsi="Palatino Linotype"/>
          <w:sz w:val="22"/>
          <w:szCs w:val="22"/>
        </w:rPr>
        <w:t>Limited to 1,200 square feet in living area (interior) ***</w:t>
      </w:r>
    </w:p>
    <w:p w:rsidR="00D918CA" w:rsidRDefault="00D918CA" w:rsidP="00D105DC">
      <w:pPr>
        <w:pStyle w:val="ListParagraph"/>
        <w:numPr>
          <w:ilvl w:val="0"/>
          <w:numId w:val="13"/>
        </w:numPr>
        <w:rPr>
          <w:rFonts w:ascii="Palatino Linotype" w:hAnsi="Palatino Linotype"/>
          <w:sz w:val="22"/>
          <w:szCs w:val="22"/>
        </w:rPr>
      </w:pPr>
      <w:r>
        <w:rPr>
          <w:rFonts w:ascii="Palatino Linotype" w:hAnsi="Palatino Linotype"/>
          <w:sz w:val="22"/>
          <w:szCs w:val="22"/>
        </w:rPr>
        <w:t>Must be free standing structure unless alternative design is approved by Planning Director which contains features to preclude expansion (such as an open breezeway separating a garage from the second unit)</w:t>
      </w:r>
    </w:p>
    <w:p w:rsidR="00CD6AC5" w:rsidRDefault="00D918CA" w:rsidP="00D105DC">
      <w:pPr>
        <w:pStyle w:val="ListParagraph"/>
        <w:numPr>
          <w:ilvl w:val="0"/>
          <w:numId w:val="13"/>
        </w:numPr>
        <w:rPr>
          <w:rFonts w:ascii="Palatino Linotype" w:hAnsi="Palatino Linotype"/>
          <w:sz w:val="22"/>
          <w:szCs w:val="22"/>
        </w:rPr>
      </w:pPr>
      <w:r>
        <w:rPr>
          <w:rFonts w:ascii="Palatino Linotype" w:hAnsi="Palatino Linotype"/>
          <w:sz w:val="22"/>
          <w:szCs w:val="22"/>
        </w:rPr>
        <w:t>Cannot be located greater than 500 ft. from primary unit</w:t>
      </w:r>
    </w:p>
    <w:p w:rsidR="00CD6AC5" w:rsidRDefault="00CD6AC5" w:rsidP="00CD6AC5">
      <w:pPr>
        <w:pStyle w:val="ListParagraph"/>
        <w:numPr>
          <w:ilvl w:val="0"/>
          <w:numId w:val="13"/>
        </w:numPr>
        <w:rPr>
          <w:rFonts w:ascii="Palatino Linotype" w:hAnsi="Palatino Linotype"/>
          <w:sz w:val="22"/>
          <w:szCs w:val="22"/>
        </w:rPr>
      </w:pPr>
      <w:r>
        <w:rPr>
          <w:rFonts w:ascii="Palatino Linotype" w:hAnsi="Palatino Linotype"/>
          <w:sz w:val="22"/>
          <w:szCs w:val="22"/>
        </w:rPr>
        <w:t>No lot coverage requirement</w:t>
      </w:r>
    </w:p>
    <w:p w:rsidR="00CD6AC5" w:rsidRDefault="00CD6AC5" w:rsidP="00CD6AC5">
      <w:pPr>
        <w:pStyle w:val="ListParagraph"/>
        <w:numPr>
          <w:ilvl w:val="0"/>
          <w:numId w:val="13"/>
        </w:numPr>
        <w:rPr>
          <w:rFonts w:ascii="Palatino Linotype" w:hAnsi="Palatino Linotype"/>
          <w:sz w:val="22"/>
          <w:szCs w:val="22"/>
        </w:rPr>
      </w:pPr>
      <w:r>
        <w:rPr>
          <w:rFonts w:ascii="Palatino Linotype" w:hAnsi="Palatino Linotype"/>
          <w:sz w:val="22"/>
          <w:szCs w:val="22"/>
        </w:rPr>
        <w:t>Road setback, for structures only, ranging from 28 ft. from private roads to 70 ft. from arterial roads</w:t>
      </w:r>
    </w:p>
    <w:p w:rsidR="00CD6AC5" w:rsidRDefault="00CD6AC5" w:rsidP="00CD6AC5">
      <w:pPr>
        <w:pStyle w:val="ListParagraph"/>
        <w:numPr>
          <w:ilvl w:val="0"/>
          <w:numId w:val="13"/>
        </w:numPr>
        <w:rPr>
          <w:rFonts w:ascii="Palatino Linotype" w:hAnsi="Palatino Linotype"/>
          <w:sz w:val="22"/>
          <w:szCs w:val="22"/>
        </w:rPr>
      </w:pPr>
      <w:r>
        <w:rPr>
          <w:rFonts w:ascii="Palatino Linotype" w:hAnsi="Palatino Linotype"/>
          <w:sz w:val="22"/>
          <w:szCs w:val="22"/>
        </w:rPr>
        <w:t>Building setback of 20 ft. from all property lines, and road setbacks **</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Well 100 ft. from both on site and off site septic systems</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Septic system outside of road setback</w:t>
      </w:r>
    </w:p>
    <w:p w:rsidR="00CB7EAE" w:rsidRPr="00D105DC"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100% reserve area designated on site for potential replacement septic system in the event initial septic system fails</w:t>
      </w:r>
    </w:p>
    <w:p w:rsidR="00D105DC" w:rsidRDefault="00D105DC" w:rsidP="00D918CA">
      <w:pPr>
        <w:pStyle w:val="ListParagraph"/>
        <w:ind w:left="1550"/>
        <w:rPr>
          <w:rFonts w:ascii="Palatino Linotype" w:hAnsi="Palatino Linotype"/>
          <w:sz w:val="22"/>
          <w:szCs w:val="22"/>
        </w:rPr>
      </w:pPr>
    </w:p>
    <w:p w:rsidR="00B95469" w:rsidRPr="00D105DC" w:rsidRDefault="00B95469" w:rsidP="00D918CA">
      <w:pPr>
        <w:pStyle w:val="ListParagraph"/>
        <w:ind w:left="1550"/>
        <w:rPr>
          <w:rFonts w:ascii="Palatino Linotype" w:hAnsi="Palatino Linotype"/>
          <w:sz w:val="22"/>
          <w:szCs w:val="22"/>
        </w:rPr>
      </w:pPr>
    </w:p>
    <w:p w:rsidR="00CD6AC5" w:rsidRDefault="00CD6AC5" w:rsidP="00CD6AC5">
      <w:pPr>
        <w:ind w:firstLine="720"/>
        <w:rPr>
          <w:rFonts w:ascii="Palatino Linotype" w:hAnsi="Palatino Linotype"/>
          <w:sz w:val="22"/>
          <w:szCs w:val="22"/>
        </w:rPr>
      </w:pPr>
      <w:r>
        <w:rPr>
          <w:rFonts w:ascii="Palatino Linotype" w:hAnsi="Palatino Linotype"/>
          <w:sz w:val="22"/>
          <w:szCs w:val="22"/>
        </w:rPr>
        <w:t>Guest Cottage Requirements:</w:t>
      </w:r>
    </w:p>
    <w:p w:rsidR="00CD6AC5" w:rsidRDefault="00CD6AC5" w:rsidP="00CD6AC5">
      <w:pPr>
        <w:pStyle w:val="ListParagraph"/>
        <w:numPr>
          <w:ilvl w:val="0"/>
          <w:numId w:val="13"/>
        </w:numPr>
        <w:rPr>
          <w:rFonts w:ascii="Palatino Linotype" w:hAnsi="Palatino Linotype"/>
          <w:sz w:val="22"/>
          <w:szCs w:val="22"/>
        </w:rPr>
      </w:pPr>
      <w:r>
        <w:rPr>
          <w:rFonts w:ascii="Palatino Linotype" w:hAnsi="Palatino Linotype"/>
          <w:sz w:val="22"/>
          <w:szCs w:val="22"/>
        </w:rPr>
        <w:t>Permitted within both AP and AW zoning district, but is not a legal dwelling unit and cannot contain a kitchen</w:t>
      </w:r>
    </w:p>
    <w:p w:rsidR="00CD6AC5" w:rsidRDefault="00CD6AC5" w:rsidP="00CD6AC5">
      <w:pPr>
        <w:pStyle w:val="ListParagraph"/>
        <w:numPr>
          <w:ilvl w:val="0"/>
          <w:numId w:val="13"/>
        </w:numPr>
        <w:rPr>
          <w:rFonts w:ascii="Palatino Linotype" w:hAnsi="Palatino Linotype"/>
          <w:sz w:val="22"/>
          <w:szCs w:val="22"/>
        </w:rPr>
      </w:pPr>
      <w:r>
        <w:rPr>
          <w:rFonts w:ascii="Palatino Linotype" w:hAnsi="Palatino Linotype"/>
          <w:sz w:val="22"/>
          <w:szCs w:val="22"/>
        </w:rPr>
        <w:t>Limited to 1,000 square feet in living area (interior)</w:t>
      </w:r>
    </w:p>
    <w:p w:rsidR="00CD6AC5" w:rsidRDefault="00CD6AC5" w:rsidP="00CD6AC5">
      <w:pPr>
        <w:pStyle w:val="ListParagraph"/>
        <w:numPr>
          <w:ilvl w:val="0"/>
          <w:numId w:val="13"/>
        </w:numPr>
        <w:rPr>
          <w:rFonts w:ascii="Palatino Linotype" w:hAnsi="Palatino Linotype"/>
          <w:sz w:val="22"/>
          <w:szCs w:val="22"/>
        </w:rPr>
      </w:pPr>
      <w:r>
        <w:rPr>
          <w:rFonts w:ascii="Palatino Linotype" w:hAnsi="Palatino Linotype"/>
          <w:sz w:val="22"/>
          <w:szCs w:val="22"/>
        </w:rPr>
        <w:t>Must be free standing structure unless alternative design is approved by Planning Director which contains features to preclude expansion</w:t>
      </w:r>
    </w:p>
    <w:p w:rsidR="00CD6AC5" w:rsidRDefault="00CD6AC5" w:rsidP="00CD6AC5">
      <w:pPr>
        <w:pStyle w:val="ListParagraph"/>
        <w:numPr>
          <w:ilvl w:val="0"/>
          <w:numId w:val="13"/>
        </w:numPr>
        <w:rPr>
          <w:rFonts w:ascii="Palatino Linotype" w:hAnsi="Palatino Linotype"/>
          <w:sz w:val="22"/>
          <w:szCs w:val="22"/>
        </w:rPr>
      </w:pPr>
      <w:r>
        <w:rPr>
          <w:rFonts w:ascii="Palatino Linotype" w:hAnsi="Palatino Linotype"/>
          <w:sz w:val="22"/>
          <w:szCs w:val="22"/>
        </w:rPr>
        <w:t>No lot coverage requirement</w:t>
      </w:r>
    </w:p>
    <w:p w:rsidR="00CD6AC5" w:rsidRDefault="00CD6AC5" w:rsidP="00CD6AC5">
      <w:pPr>
        <w:pStyle w:val="ListParagraph"/>
        <w:numPr>
          <w:ilvl w:val="0"/>
          <w:numId w:val="13"/>
        </w:numPr>
        <w:rPr>
          <w:rFonts w:ascii="Palatino Linotype" w:hAnsi="Palatino Linotype"/>
          <w:sz w:val="22"/>
          <w:szCs w:val="22"/>
        </w:rPr>
      </w:pPr>
      <w:r>
        <w:rPr>
          <w:rFonts w:ascii="Palatino Linotype" w:hAnsi="Palatino Linotype"/>
          <w:sz w:val="22"/>
          <w:szCs w:val="22"/>
        </w:rPr>
        <w:t>Road setback, for structures only, ranging from 28 ft. from private roads to 70 ft. from arterial roads</w:t>
      </w:r>
    </w:p>
    <w:p w:rsidR="00CD6AC5" w:rsidRPr="00CD6AC5" w:rsidRDefault="00CD6AC5" w:rsidP="00CD6AC5">
      <w:pPr>
        <w:pStyle w:val="ListParagraph"/>
        <w:numPr>
          <w:ilvl w:val="0"/>
          <w:numId w:val="13"/>
        </w:numPr>
        <w:rPr>
          <w:rFonts w:ascii="Palatino Linotype" w:hAnsi="Palatino Linotype"/>
          <w:sz w:val="22"/>
          <w:szCs w:val="22"/>
        </w:rPr>
      </w:pPr>
      <w:r>
        <w:rPr>
          <w:rFonts w:ascii="Palatino Linotype" w:hAnsi="Palatino Linotype"/>
          <w:sz w:val="22"/>
          <w:szCs w:val="22"/>
        </w:rPr>
        <w:t>Building setback of 20 ft. from all property lines, and road setbacks **</w:t>
      </w:r>
    </w:p>
    <w:p w:rsidR="00D105DC" w:rsidRDefault="00D105DC" w:rsidP="00D105DC">
      <w:pPr>
        <w:ind w:firstLine="720"/>
        <w:rPr>
          <w:rFonts w:ascii="Palatino Linotype" w:hAnsi="Palatino Linotype"/>
          <w:sz w:val="22"/>
          <w:szCs w:val="22"/>
        </w:rPr>
      </w:pPr>
    </w:p>
    <w:p w:rsidR="00D105DC" w:rsidRDefault="00D105DC" w:rsidP="00D105DC">
      <w:pPr>
        <w:ind w:firstLine="720"/>
        <w:rPr>
          <w:rFonts w:ascii="Palatino Linotype" w:hAnsi="Palatino Linotype"/>
          <w:sz w:val="22"/>
          <w:szCs w:val="22"/>
        </w:rPr>
      </w:pPr>
      <w:r>
        <w:rPr>
          <w:rFonts w:ascii="Palatino Linotype" w:hAnsi="Palatino Linotype"/>
          <w:sz w:val="22"/>
          <w:szCs w:val="22"/>
        </w:rPr>
        <w:t xml:space="preserve">Accessory Building (to Residential </w:t>
      </w:r>
      <w:r w:rsidR="00CD6AC5">
        <w:rPr>
          <w:rFonts w:ascii="Palatino Linotype" w:hAnsi="Palatino Linotype"/>
          <w:sz w:val="22"/>
          <w:szCs w:val="22"/>
        </w:rPr>
        <w:t>or Agricultural U</w:t>
      </w:r>
      <w:r>
        <w:rPr>
          <w:rFonts w:ascii="Palatino Linotype" w:hAnsi="Palatino Linotype"/>
          <w:sz w:val="22"/>
          <w:szCs w:val="22"/>
        </w:rPr>
        <w:t>se) Requirements:</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No lot coverage requirement</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Road setback, for structures only, ranging from 28 ft. from private roads to 70 ft. from arterial roads</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Building setback of 20 ft. from all property lines, and road setbacks **</w:t>
      </w:r>
    </w:p>
    <w:p w:rsidR="00D105DC" w:rsidRDefault="00D105DC" w:rsidP="00D105DC">
      <w:pPr>
        <w:ind w:firstLine="720"/>
        <w:rPr>
          <w:rFonts w:ascii="Palatino Linotype" w:hAnsi="Palatino Linotype"/>
          <w:sz w:val="22"/>
          <w:szCs w:val="22"/>
        </w:rPr>
      </w:pPr>
    </w:p>
    <w:p w:rsidR="00D105DC" w:rsidRDefault="00D105DC" w:rsidP="00D105DC">
      <w:pPr>
        <w:ind w:firstLine="720"/>
        <w:rPr>
          <w:rFonts w:ascii="Palatino Linotype" w:hAnsi="Palatino Linotype"/>
          <w:sz w:val="22"/>
          <w:szCs w:val="22"/>
        </w:rPr>
      </w:pPr>
      <w:r>
        <w:rPr>
          <w:rFonts w:ascii="Palatino Linotype" w:hAnsi="Palatino Linotype"/>
          <w:sz w:val="22"/>
          <w:szCs w:val="22"/>
        </w:rPr>
        <w:t>Agricultural Building</w:t>
      </w:r>
      <w:r w:rsidR="00CB7EAE">
        <w:rPr>
          <w:rFonts w:ascii="Palatino Linotype" w:hAnsi="Palatino Linotype"/>
          <w:sz w:val="22"/>
          <w:szCs w:val="22"/>
        </w:rPr>
        <w:t xml:space="preserve"> (Barn / Farm Management)</w:t>
      </w:r>
      <w:r>
        <w:rPr>
          <w:rFonts w:ascii="Palatino Linotype" w:hAnsi="Palatino Linotype"/>
          <w:sz w:val="22"/>
          <w:szCs w:val="22"/>
        </w:rPr>
        <w:t xml:space="preserve"> Requirements:</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No lot coverage requirement</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Road setback, for structures only, ranging from 28 ft. from private roads to 70 ft. from arterial roads</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Building setback of 20 ft. from all property lines, and road setbacks **</w:t>
      </w:r>
    </w:p>
    <w:p w:rsidR="00D105DC" w:rsidRDefault="00D105DC" w:rsidP="00D105DC">
      <w:pPr>
        <w:pStyle w:val="ListParagraph"/>
        <w:numPr>
          <w:ilvl w:val="0"/>
          <w:numId w:val="13"/>
        </w:numPr>
        <w:rPr>
          <w:rFonts w:ascii="Palatino Linotype" w:hAnsi="Palatino Linotype"/>
          <w:sz w:val="22"/>
          <w:szCs w:val="22"/>
        </w:rPr>
      </w:pPr>
      <w:r>
        <w:rPr>
          <w:rFonts w:ascii="Palatino Linotype" w:hAnsi="Palatino Linotype"/>
          <w:sz w:val="22"/>
          <w:szCs w:val="22"/>
        </w:rPr>
        <w:t>Road setback – ranging from 28 ft. to 70 ft.*</w:t>
      </w:r>
    </w:p>
    <w:p w:rsidR="00D105DC" w:rsidRPr="00D105DC" w:rsidRDefault="00CB7EAE" w:rsidP="00D105DC">
      <w:pPr>
        <w:pStyle w:val="ListParagraph"/>
        <w:numPr>
          <w:ilvl w:val="0"/>
          <w:numId w:val="13"/>
        </w:numPr>
        <w:rPr>
          <w:rFonts w:ascii="Palatino Linotype" w:hAnsi="Palatino Linotype"/>
          <w:sz w:val="22"/>
          <w:szCs w:val="22"/>
        </w:rPr>
      </w:pPr>
      <w:r>
        <w:rPr>
          <w:rFonts w:ascii="Palatino Linotype" w:hAnsi="Palatino Linotype"/>
          <w:sz w:val="22"/>
          <w:szCs w:val="22"/>
        </w:rPr>
        <w:t>Farm Management uses with structures over 5,000 sq. ft. subject to Commission level use permit</w:t>
      </w:r>
    </w:p>
    <w:p w:rsidR="00D105DC" w:rsidRDefault="00D105DC" w:rsidP="00D105DC">
      <w:pPr>
        <w:ind w:firstLine="720"/>
        <w:rPr>
          <w:rFonts w:ascii="Palatino Linotype" w:hAnsi="Palatino Linotype"/>
          <w:sz w:val="22"/>
          <w:szCs w:val="22"/>
        </w:rPr>
      </w:pPr>
    </w:p>
    <w:p w:rsidR="00D105DC" w:rsidRDefault="00D105DC" w:rsidP="00D105DC">
      <w:pPr>
        <w:ind w:firstLine="720"/>
        <w:rPr>
          <w:rFonts w:ascii="Palatino Linotype" w:hAnsi="Palatino Linotype"/>
          <w:sz w:val="22"/>
          <w:szCs w:val="22"/>
        </w:rPr>
      </w:pPr>
      <w:r>
        <w:rPr>
          <w:rFonts w:ascii="Palatino Linotype" w:hAnsi="Palatino Linotype"/>
          <w:sz w:val="22"/>
          <w:szCs w:val="22"/>
        </w:rPr>
        <w:t>Churches / Public Facilities / Utility Use Requirements:</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No lot coverage requirement</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Road setback, for structures only, ranging from 28 ft. from private roads to 70 ft. from arterial roads</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Building setback of 20 ft. from all property lines, and road setbacks **</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Well 100 ft. from both on site and off site septic systems</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Septic system outside of road setback</w:t>
      </w:r>
    </w:p>
    <w:p w:rsidR="00CB7EAE" w:rsidRPr="00D105DC"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100% reserve area designated on site for potential replacement septic system in the event initial septic system fails</w:t>
      </w:r>
    </w:p>
    <w:p w:rsidR="00CB7EAE" w:rsidRDefault="00CB7EAE" w:rsidP="00D105DC">
      <w:pPr>
        <w:ind w:firstLine="720"/>
        <w:rPr>
          <w:rFonts w:ascii="Palatino Linotype" w:hAnsi="Palatino Linotype"/>
          <w:sz w:val="22"/>
          <w:szCs w:val="22"/>
        </w:rPr>
      </w:pPr>
    </w:p>
    <w:p w:rsidR="00D105DC" w:rsidRDefault="00D105DC" w:rsidP="00D105DC">
      <w:pPr>
        <w:ind w:firstLine="720"/>
        <w:rPr>
          <w:rFonts w:ascii="Palatino Linotype" w:hAnsi="Palatino Linotype"/>
          <w:sz w:val="22"/>
          <w:szCs w:val="22"/>
        </w:rPr>
      </w:pPr>
      <w:r>
        <w:rPr>
          <w:rFonts w:ascii="Palatino Linotype" w:hAnsi="Palatino Linotype"/>
          <w:sz w:val="22"/>
          <w:szCs w:val="22"/>
        </w:rPr>
        <w:t>Farm Labor Dwelling Requirements:</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No lot coverage requirement</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12 units permitted per legal lot (pursuant to State Law)</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Primary occupant of each unit must be bona fide farm laborer as define by State</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Road setback, for structures only, ranging from 28 ft. from private roads to 70 ft. from arterial roads</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Building setback of 20 ft. from all property lines, and road setbacks **</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lastRenderedPageBreak/>
        <w:t>Well 100 ft. from both on site and off site septic systems</w:t>
      </w:r>
    </w:p>
    <w:p w:rsidR="00CB7EAE"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Septic system outside of road setback</w:t>
      </w:r>
    </w:p>
    <w:p w:rsidR="00CB7EAE" w:rsidRPr="00D105DC" w:rsidRDefault="00CB7EAE" w:rsidP="00CB7EAE">
      <w:pPr>
        <w:pStyle w:val="ListParagraph"/>
        <w:numPr>
          <w:ilvl w:val="0"/>
          <w:numId w:val="13"/>
        </w:numPr>
        <w:rPr>
          <w:rFonts w:ascii="Palatino Linotype" w:hAnsi="Palatino Linotype"/>
          <w:sz w:val="22"/>
          <w:szCs w:val="22"/>
        </w:rPr>
      </w:pPr>
      <w:r>
        <w:rPr>
          <w:rFonts w:ascii="Palatino Linotype" w:hAnsi="Palatino Linotype"/>
          <w:sz w:val="22"/>
          <w:szCs w:val="22"/>
        </w:rPr>
        <w:t>100% reserve area designated on site for potential replacement septic system in the event initial septic system fails</w:t>
      </w:r>
    </w:p>
    <w:p w:rsidR="002F3BA5" w:rsidRDefault="002F3BA5" w:rsidP="003467F5">
      <w:pPr>
        <w:ind w:firstLine="720"/>
        <w:rPr>
          <w:rFonts w:ascii="Palatino Linotype" w:hAnsi="Palatino Linotype"/>
          <w:sz w:val="22"/>
          <w:szCs w:val="22"/>
        </w:rPr>
      </w:pPr>
    </w:p>
    <w:p w:rsidR="007A6B50" w:rsidRPr="006769D4" w:rsidRDefault="00114BAC" w:rsidP="00114BAC">
      <w:pPr>
        <w:rPr>
          <w:rFonts w:ascii="Palatino Linotype" w:hAnsi="Palatino Linotype"/>
          <w:sz w:val="18"/>
          <w:szCs w:val="18"/>
        </w:rPr>
      </w:pPr>
      <w:r w:rsidRPr="006769D4">
        <w:rPr>
          <w:rFonts w:ascii="Palatino Linotype" w:hAnsi="Palatino Linotype"/>
          <w:sz w:val="18"/>
          <w:szCs w:val="18"/>
        </w:rPr>
        <w:t xml:space="preserve">* </w:t>
      </w:r>
      <w:r w:rsidR="00EC43A6" w:rsidRPr="006769D4">
        <w:rPr>
          <w:rFonts w:ascii="Palatino Linotype" w:hAnsi="Palatino Linotype"/>
          <w:sz w:val="18"/>
          <w:szCs w:val="18"/>
        </w:rPr>
        <w:t xml:space="preserve"> </w:t>
      </w:r>
      <w:r w:rsidR="007A6B50" w:rsidRPr="006769D4">
        <w:rPr>
          <w:rFonts w:ascii="Palatino Linotype" w:hAnsi="Palatino Linotype"/>
          <w:sz w:val="18"/>
          <w:szCs w:val="18"/>
        </w:rPr>
        <w:t xml:space="preserve"> Winery and road setbacks are measures from the centerline of the road.  When a road bisects a parcel, the setback applies to both sides of the road.  If a road does not directly </w:t>
      </w:r>
      <w:proofErr w:type="spellStart"/>
      <w:r w:rsidR="007A6B50" w:rsidRPr="006769D4">
        <w:rPr>
          <w:rFonts w:ascii="Palatino Linotype" w:hAnsi="Palatino Linotype"/>
          <w:sz w:val="18"/>
          <w:szCs w:val="18"/>
        </w:rPr>
        <w:t>abut</w:t>
      </w:r>
      <w:proofErr w:type="spellEnd"/>
      <w:r w:rsidR="007A6B50" w:rsidRPr="006769D4">
        <w:rPr>
          <w:rFonts w:ascii="Palatino Linotype" w:hAnsi="Palatino Linotype"/>
          <w:sz w:val="18"/>
          <w:szCs w:val="18"/>
        </w:rPr>
        <w:t xml:space="preserve"> </w:t>
      </w:r>
      <w:r w:rsidR="00CB7EAE" w:rsidRPr="006769D4">
        <w:rPr>
          <w:rFonts w:ascii="Palatino Linotype" w:hAnsi="Palatino Linotype"/>
          <w:sz w:val="18"/>
          <w:szCs w:val="18"/>
        </w:rPr>
        <w:t>the</w:t>
      </w:r>
      <w:r w:rsidR="007A6B50" w:rsidRPr="006769D4">
        <w:rPr>
          <w:rFonts w:ascii="Palatino Linotype" w:hAnsi="Palatino Linotype"/>
          <w:sz w:val="18"/>
          <w:szCs w:val="18"/>
        </w:rPr>
        <w:t xml:space="preserve"> property</w:t>
      </w:r>
      <w:r w:rsidR="00CB7EAE" w:rsidRPr="006769D4">
        <w:rPr>
          <w:rFonts w:ascii="Palatino Linotype" w:hAnsi="Palatino Linotype"/>
          <w:sz w:val="18"/>
          <w:szCs w:val="18"/>
        </w:rPr>
        <w:t xml:space="preserve"> containing the subject structure</w:t>
      </w:r>
      <w:r w:rsidR="007A6B50" w:rsidRPr="006769D4">
        <w:rPr>
          <w:rFonts w:ascii="Palatino Linotype" w:hAnsi="Palatino Linotype"/>
          <w:sz w:val="18"/>
          <w:szCs w:val="18"/>
        </w:rPr>
        <w:t xml:space="preserve">, the </w:t>
      </w:r>
      <w:r w:rsidR="00CB7EAE" w:rsidRPr="006769D4">
        <w:rPr>
          <w:rFonts w:ascii="Palatino Linotype" w:hAnsi="Palatino Linotype"/>
          <w:sz w:val="18"/>
          <w:szCs w:val="18"/>
        </w:rPr>
        <w:t xml:space="preserve">winery and/or road </w:t>
      </w:r>
      <w:r w:rsidR="007A6B50" w:rsidRPr="006769D4">
        <w:rPr>
          <w:rFonts w:ascii="Palatino Linotype" w:hAnsi="Palatino Linotype"/>
          <w:sz w:val="18"/>
          <w:szCs w:val="18"/>
        </w:rPr>
        <w:t>setback does not apply on that property.</w:t>
      </w:r>
    </w:p>
    <w:p w:rsidR="007A6B50" w:rsidRPr="006769D4" w:rsidRDefault="007A6B50" w:rsidP="00114BAC">
      <w:pPr>
        <w:rPr>
          <w:rFonts w:ascii="Palatino Linotype" w:hAnsi="Palatino Linotype"/>
          <w:sz w:val="18"/>
          <w:szCs w:val="18"/>
        </w:rPr>
      </w:pPr>
    </w:p>
    <w:p w:rsidR="003467F5" w:rsidRPr="006769D4" w:rsidRDefault="007A6B50" w:rsidP="00114BAC">
      <w:pPr>
        <w:rPr>
          <w:rFonts w:ascii="Palatino Linotype" w:hAnsi="Palatino Linotype"/>
          <w:sz w:val="18"/>
          <w:szCs w:val="18"/>
        </w:rPr>
      </w:pPr>
      <w:r w:rsidRPr="006769D4">
        <w:rPr>
          <w:rFonts w:ascii="Palatino Linotype" w:hAnsi="Palatino Linotype"/>
          <w:sz w:val="18"/>
          <w:szCs w:val="18"/>
        </w:rPr>
        <w:t xml:space="preserve">** </w:t>
      </w:r>
      <w:r w:rsidR="00EC43A6" w:rsidRPr="006769D4">
        <w:rPr>
          <w:rFonts w:ascii="Palatino Linotype" w:hAnsi="Palatino Linotype"/>
          <w:sz w:val="18"/>
          <w:szCs w:val="18"/>
        </w:rPr>
        <w:t>6 ft. to 9 ft. side yard setback</w:t>
      </w:r>
      <w:r w:rsidRPr="006769D4">
        <w:rPr>
          <w:rFonts w:ascii="Palatino Linotype" w:hAnsi="Palatino Linotype"/>
          <w:sz w:val="18"/>
          <w:szCs w:val="18"/>
        </w:rPr>
        <w:t>s</w:t>
      </w:r>
      <w:r w:rsidR="00EC43A6" w:rsidRPr="006769D4">
        <w:rPr>
          <w:rFonts w:ascii="Palatino Linotype" w:hAnsi="Palatino Linotype"/>
          <w:sz w:val="18"/>
          <w:szCs w:val="18"/>
        </w:rPr>
        <w:t xml:space="preserve"> appl</w:t>
      </w:r>
      <w:r w:rsidRPr="006769D4">
        <w:rPr>
          <w:rFonts w:ascii="Palatino Linotype" w:hAnsi="Palatino Linotype"/>
          <w:sz w:val="18"/>
          <w:szCs w:val="18"/>
        </w:rPr>
        <w:t>y</w:t>
      </w:r>
      <w:r w:rsidR="00EC43A6" w:rsidRPr="006769D4">
        <w:rPr>
          <w:rFonts w:ascii="Palatino Linotype" w:hAnsi="Palatino Linotype"/>
          <w:sz w:val="18"/>
          <w:szCs w:val="18"/>
        </w:rPr>
        <w:t xml:space="preserve"> on legal lots of 2 acres or less</w:t>
      </w:r>
    </w:p>
    <w:p w:rsidR="00D918CA" w:rsidRPr="006769D4" w:rsidRDefault="00D918CA" w:rsidP="00114BAC">
      <w:pPr>
        <w:rPr>
          <w:rFonts w:ascii="Palatino Linotype" w:hAnsi="Palatino Linotype"/>
          <w:sz w:val="18"/>
          <w:szCs w:val="18"/>
        </w:rPr>
      </w:pPr>
    </w:p>
    <w:p w:rsidR="00D918CA" w:rsidRPr="006769D4" w:rsidRDefault="00D918CA" w:rsidP="00114BAC">
      <w:pPr>
        <w:rPr>
          <w:rFonts w:ascii="Palatino Linotype" w:hAnsi="Palatino Linotype"/>
          <w:sz w:val="18"/>
          <w:szCs w:val="18"/>
        </w:rPr>
      </w:pPr>
      <w:r w:rsidRPr="006769D4">
        <w:rPr>
          <w:rFonts w:ascii="Palatino Linotype" w:hAnsi="Palatino Linotype"/>
          <w:sz w:val="18"/>
          <w:szCs w:val="18"/>
        </w:rPr>
        <w:t xml:space="preserve">*** </w:t>
      </w:r>
      <w:r w:rsidR="000C5A98" w:rsidRPr="006769D4">
        <w:rPr>
          <w:rFonts w:ascii="Palatino Linotype" w:hAnsi="Palatino Linotype"/>
          <w:sz w:val="18"/>
          <w:szCs w:val="18"/>
        </w:rPr>
        <w:t>This is the s</w:t>
      </w:r>
      <w:r w:rsidRPr="006769D4">
        <w:rPr>
          <w:rFonts w:ascii="Palatino Linotype" w:hAnsi="Palatino Linotype"/>
          <w:sz w:val="18"/>
          <w:szCs w:val="18"/>
        </w:rPr>
        <w:t xml:space="preserve">tandard for detached second units.  Second units attached to main dwelling </w:t>
      </w:r>
      <w:r w:rsidR="000C5A98" w:rsidRPr="006769D4">
        <w:rPr>
          <w:rFonts w:ascii="Palatino Linotype" w:hAnsi="Palatino Linotype"/>
          <w:sz w:val="18"/>
          <w:szCs w:val="18"/>
        </w:rPr>
        <w:t>cannot be larger than the primary dwelling unit</w:t>
      </w:r>
      <w:r w:rsidRPr="006769D4">
        <w:rPr>
          <w:rFonts w:ascii="Palatino Linotype" w:hAnsi="Palatino Linotype"/>
          <w:sz w:val="18"/>
          <w:szCs w:val="18"/>
        </w:rPr>
        <w:t xml:space="preserve"> or 1,200 sq. ft., whichever is less.</w:t>
      </w:r>
    </w:p>
    <w:p w:rsidR="00114BAC" w:rsidRDefault="00114BAC" w:rsidP="003467F5">
      <w:pPr>
        <w:ind w:firstLine="720"/>
        <w:rPr>
          <w:rFonts w:ascii="Palatino Linotype" w:hAnsi="Palatino Linotype"/>
          <w:sz w:val="22"/>
          <w:szCs w:val="22"/>
        </w:rPr>
      </w:pPr>
    </w:p>
    <w:sectPr w:rsidR="00114BAC" w:rsidSect="00497909">
      <w:footerReference w:type="default" r:id="rId8"/>
      <w:headerReference w:type="first" r:id="rId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221" w:rsidRDefault="00E20221">
      <w:r>
        <w:separator/>
      </w:r>
    </w:p>
  </w:endnote>
  <w:endnote w:type="continuationSeparator" w:id="0">
    <w:p w:rsidR="00E20221" w:rsidRDefault="00E2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76269"/>
      <w:docPartObj>
        <w:docPartGallery w:val="Page Numbers (Bottom of Page)"/>
        <w:docPartUnique/>
      </w:docPartObj>
    </w:sdtPr>
    <w:sdtEndPr/>
    <w:sdtContent>
      <w:p w:rsidR="00BF5250" w:rsidRDefault="003A00CF">
        <w:pPr>
          <w:pStyle w:val="Footer"/>
          <w:jc w:val="center"/>
        </w:pPr>
        <w:r>
          <w:fldChar w:fldCharType="begin"/>
        </w:r>
        <w:r>
          <w:instrText xml:space="preserve"> PAGE   \* MERGEFORMAT </w:instrText>
        </w:r>
        <w:r>
          <w:fldChar w:fldCharType="separate"/>
        </w:r>
        <w:r w:rsidR="00D333B2">
          <w:rPr>
            <w:noProof/>
          </w:rPr>
          <w:t>4</w:t>
        </w:r>
        <w:r>
          <w:rPr>
            <w:noProof/>
          </w:rPr>
          <w:fldChar w:fldCharType="end"/>
        </w:r>
      </w:p>
    </w:sdtContent>
  </w:sdt>
  <w:p w:rsidR="00BF5250" w:rsidRDefault="00BF5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221" w:rsidRDefault="00E20221">
      <w:r>
        <w:separator/>
      </w:r>
    </w:p>
  </w:footnote>
  <w:footnote w:type="continuationSeparator" w:id="0">
    <w:p w:rsidR="00E20221" w:rsidRDefault="00E20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D1B" w:rsidRPr="00FA5BE2" w:rsidRDefault="00777D1B" w:rsidP="00FA5BE2">
    <w:pPr>
      <w:tabs>
        <w:tab w:val="left" w:pos="7380"/>
      </w:tabs>
      <w:jc w:val="right"/>
      <w:rPr>
        <w:rFonts w:ascii="Arial" w:hAnsi="Arial" w:cs="Arial"/>
        <w:sz w:val="16"/>
        <w:szCs w:val="16"/>
      </w:rPr>
    </w:pPr>
    <w:r>
      <w:rPr>
        <w:rFonts w:ascii="Arial" w:hAnsi="Arial" w:cs="Arial"/>
        <w:b/>
        <w:noProof/>
        <w:sz w:val="16"/>
        <w:szCs w:val="16"/>
      </w:rPr>
      <w:drawing>
        <wp:anchor distT="0" distB="0" distL="114300" distR="114300" simplePos="0" relativeHeight="251657728" behindDoc="0" locked="0" layoutInCell="1" allowOverlap="0" wp14:anchorId="4D1B4B90" wp14:editId="2B2EB4B9">
          <wp:simplePos x="0" y="0"/>
          <wp:positionH relativeFrom="column">
            <wp:align>left</wp:align>
          </wp:positionH>
          <wp:positionV relativeFrom="paragraph">
            <wp:posOffset>-8890</wp:posOffset>
          </wp:positionV>
          <wp:extent cx="1038225" cy="1362075"/>
          <wp:effectExtent l="19050" t="0" r="9525" b="0"/>
          <wp:wrapSquare wrapText="bothSides"/>
          <wp:docPr id="5" name="Picture 5" descr="se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l3"/>
                  <pic:cNvPicPr>
                    <a:picLocks noChangeAspect="1" noChangeArrowheads="1"/>
                  </pic:cNvPicPr>
                </pic:nvPicPr>
                <pic:blipFill>
                  <a:blip r:embed="rId1"/>
                  <a:srcRect/>
                  <a:stretch>
                    <a:fillRect/>
                  </a:stretch>
                </pic:blipFill>
                <pic:spPr bwMode="auto">
                  <a:xfrm>
                    <a:off x="0" y="0"/>
                    <a:ext cx="1038225" cy="1362075"/>
                  </a:xfrm>
                  <a:prstGeom prst="rect">
                    <a:avLst/>
                  </a:prstGeom>
                  <a:noFill/>
                  <a:ln w="9525">
                    <a:noFill/>
                    <a:miter lim="800000"/>
                    <a:headEnd/>
                    <a:tailEnd/>
                  </a:ln>
                </pic:spPr>
              </pic:pic>
            </a:graphicData>
          </a:graphic>
        </wp:anchor>
      </w:drawing>
    </w:r>
    <w:r>
      <w:rPr>
        <w:rFonts w:ascii="Arial" w:hAnsi="Arial" w:cs="Arial"/>
        <w:b/>
        <w:sz w:val="16"/>
        <w:szCs w:val="16"/>
      </w:rPr>
      <w:t xml:space="preserve"> Planning</w:t>
    </w:r>
    <w:r w:rsidR="00F60E6A">
      <w:rPr>
        <w:rFonts w:ascii="Arial" w:hAnsi="Arial" w:cs="Arial"/>
        <w:b/>
        <w:sz w:val="16"/>
        <w:szCs w:val="16"/>
      </w:rPr>
      <w:t>, Building and Environmental Services</w:t>
    </w:r>
    <w:r w:rsidRPr="00D348D6">
      <w:rPr>
        <w:rFonts w:ascii="Arial" w:hAnsi="Arial" w:cs="Arial"/>
        <w:b/>
        <w:sz w:val="16"/>
        <w:szCs w:val="16"/>
      </w:rPr>
      <w:br/>
    </w:r>
  </w:p>
  <w:p w:rsidR="00777D1B" w:rsidRPr="00D348D6" w:rsidRDefault="00777D1B" w:rsidP="00497909">
    <w:pPr>
      <w:jc w:val="right"/>
      <w:rPr>
        <w:rFonts w:ascii="Arial" w:hAnsi="Arial" w:cs="Arial"/>
        <w:sz w:val="16"/>
        <w:szCs w:val="16"/>
      </w:rPr>
    </w:pPr>
    <w:r>
      <w:rPr>
        <w:rFonts w:ascii="Arial" w:hAnsi="Arial" w:cs="Arial"/>
        <w:sz w:val="16"/>
        <w:szCs w:val="16"/>
      </w:rPr>
      <w:t>1195 Third Street, Suite 210</w:t>
    </w:r>
  </w:p>
  <w:p w:rsidR="00777D1B" w:rsidRPr="00D348D6" w:rsidRDefault="00777D1B" w:rsidP="00497909">
    <w:pPr>
      <w:tabs>
        <w:tab w:val="left" w:pos="4148"/>
        <w:tab w:val="right" w:pos="10080"/>
      </w:tabs>
      <w:rPr>
        <w:rFonts w:ascii="Arial" w:hAnsi="Arial" w:cs="Arial"/>
        <w:sz w:val="16"/>
        <w:szCs w:val="16"/>
      </w:rPr>
    </w:pPr>
    <w:r>
      <w:rPr>
        <w:rFonts w:ascii="Arial" w:hAnsi="Arial" w:cs="Arial"/>
        <w:sz w:val="16"/>
        <w:szCs w:val="16"/>
      </w:rPr>
      <w:tab/>
    </w:r>
    <w:r>
      <w:rPr>
        <w:rFonts w:ascii="Arial" w:hAnsi="Arial" w:cs="Arial"/>
        <w:sz w:val="16"/>
        <w:szCs w:val="16"/>
      </w:rPr>
      <w:tab/>
      <w:t>Napa, CA  94559</w:t>
    </w:r>
    <w:r w:rsidRPr="00D348D6">
      <w:rPr>
        <w:rFonts w:ascii="Arial" w:hAnsi="Arial" w:cs="Arial"/>
        <w:sz w:val="16"/>
        <w:szCs w:val="16"/>
      </w:rPr>
      <w:t xml:space="preserve"> </w:t>
    </w:r>
  </w:p>
  <w:p w:rsidR="00777D1B" w:rsidRPr="00D348D6" w:rsidRDefault="00777D1B" w:rsidP="00497909">
    <w:pPr>
      <w:jc w:val="right"/>
      <w:rPr>
        <w:rFonts w:ascii="Arial" w:hAnsi="Arial" w:cs="Arial"/>
        <w:sz w:val="16"/>
        <w:szCs w:val="16"/>
      </w:rPr>
    </w:pPr>
    <w:r>
      <w:rPr>
        <w:rFonts w:ascii="Arial" w:hAnsi="Arial" w:cs="Arial"/>
        <w:sz w:val="16"/>
        <w:szCs w:val="16"/>
      </w:rPr>
      <w:t>www.co.napa.ca.us</w:t>
    </w:r>
  </w:p>
  <w:p w:rsidR="00777D1B" w:rsidRPr="00D348D6" w:rsidRDefault="00777D1B" w:rsidP="00497909">
    <w:pPr>
      <w:jc w:val="right"/>
      <w:rPr>
        <w:rFonts w:ascii="Arial" w:hAnsi="Arial" w:cs="Arial"/>
        <w:sz w:val="16"/>
        <w:szCs w:val="16"/>
      </w:rPr>
    </w:pPr>
  </w:p>
  <w:p w:rsidR="00777D1B" w:rsidRPr="00D348D6" w:rsidRDefault="00777D1B" w:rsidP="00497909">
    <w:pPr>
      <w:jc w:val="right"/>
      <w:rPr>
        <w:rFonts w:ascii="Arial" w:hAnsi="Arial" w:cs="Arial"/>
        <w:sz w:val="16"/>
        <w:szCs w:val="16"/>
      </w:rPr>
    </w:pPr>
    <w:r w:rsidRPr="00D348D6">
      <w:rPr>
        <w:rFonts w:ascii="Arial" w:hAnsi="Arial" w:cs="Arial"/>
        <w:sz w:val="16"/>
        <w:szCs w:val="16"/>
      </w:rPr>
      <w:t>Main:</w:t>
    </w:r>
    <w:r>
      <w:rPr>
        <w:rFonts w:ascii="Arial" w:hAnsi="Arial" w:cs="Arial"/>
        <w:sz w:val="16"/>
        <w:szCs w:val="16"/>
      </w:rPr>
      <w:t xml:space="preserve"> (707)</w:t>
    </w:r>
    <w:r w:rsidRPr="00D348D6">
      <w:rPr>
        <w:rFonts w:ascii="Arial" w:hAnsi="Arial" w:cs="Arial"/>
        <w:sz w:val="16"/>
        <w:szCs w:val="16"/>
      </w:rPr>
      <w:t xml:space="preserve"> </w:t>
    </w:r>
    <w:r>
      <w:rPr>
        <w:rFonts w:ascii="Arial" w:hAnsi="Arial" w:cs="Arial"/>
        <w:sz w:val="16"/>
        <w:szCs w:val="16"/>
      </w:rPr>
      <w:t>253-4417</w:t>
    </w:r>
  </w:p>
  <w:p w:rsidR="00777D1B" w:rsidRPr="00D348D6" w:rsidRDefault="00777D1B" w:rsidP="00497909">
    <w:pPr>
      <w:jc w:val="right"/>
      <w:rPr>
        <w:rFonts w:ascii="Arial" w:hAnsi="Arial" w:cs="Arial"/>
        <w:sz w:val="16"/>
        <w:szCs w:val="16"/>
      </w:rPr>
    </w:pPr>
    <w:r w:rsidRPr="00D348D6">
      <w:rPr>
        <w:rFonts w:ascii="Arial" w:hAnsi="Arial" w:cs="Arial"/>
        <w:sz w:val="16"/>
        <w:szCs w:val="16"/>
      </w:rPr>
      <w:t xml:space="preserve">Fax: (707) </w:t>
    </w:r>
    <w:r>
      <w:rPr>
        <w:rFonts w:ascii="Arial" w:hAnsi="Arial" w:cs="Arial"/>
        <w:sz w:val="16"/>
        <w:szCs w:val="16"/>
      </w:rPr>
      <w:t>253-4336</w:t>
    </w:r>
  </w:p>
  <w:p w:rsidR="00777D1B" w:rsidRPr="00D348D6" w:rsidRDefault="00777D1B" w:rsidP="00497909">
    <w:pPr>
      <w:jc w:val="right"/>
      <w:rPr>
        <w:rFonts w:ascii="Arial" w:hAnsi="Arial" w:cs="Arial"/>
        <w:b/>
        <w:sz w:val="16"/>
        <w:szCs w:val="16"/>
      </w:rPr>
    </w:pPr>
    <w:r w:rsidRPr="00D348D6">
      <w:rPr>
        <w:rFonts w:ascii="Arial" w:hAnsi="Arial" w:cs="Arial"/>
        <w:sz w:val="16"/>
        <w:szCs w:val="16"/>
      </w:rPr>
      <w:br/>
    </w:r>
    <w:r w:rsidR="00F60E6A">
      <w:rPr>
        <w:rFonts w:ascii="Arial" w:hAnsi="Arial" w:cs="Arial"/>
        <w:b/>
        <w:sz w:val="16"/>
        <w:szCs w:val="16"/>
      </w:rPr>
      <w:t>David Morrison</w:t>
    </w:r>
  </w:p>
  <w:p w:rsidR="00777D1B" w:rsidRPr="00D348D6" w:rsidRDefault="00777D1B" w:rsidP="00497909">
    <w:pPr>
      <w:jc w:val="right"/>
      <w:rPr>
        <w:rFonts w:ascii="Arial" w:hAnsi="Arial" w:cs="Arial"/>
        <w:sz w:val="16"/>
        <w:szCs w:val="16"/>
      </w:rPr>
    </w:pPr>
    <w:r>
      <w:rPr>
        <w:rFonts w:ascii="Arial" w:hAnsi="Arial" w:cs="Arial"/>
        <w:sz w:val="16"/>
        <w:szCs w:val="16"/>
      </w:rPr>
      <w:t>Director</w:t>
    </w:r>
  </w:p>
  <w:p w:rsidR="00777D1B" w:rsidRDefault="00777D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6D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18F92F7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239F32DB"/>
    <w:multiLevelType w:val="hybridMultilevel"/>
    <w:tmpl w:val="1E2A7AE8"/>
    <w:lvl w:ilvl="0" w:tplc="C99847A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780897"/>
    <w:multiLevelType w:val="multilevel"/>
    <w:tmpl w:val="DA4412D6"/>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363A1811"/>
    <w:multiLevelType w:val="hybridMultilevel"/>
    <w:tmpl w:val="BA585BBC"/>
    <w:lvl w:ilvl="0" w:tplc="57221AB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AAE6B64"/>
    <w:multiLevelType w:val="hybridMultilevel"/>
    <w:tmpl w:val="729AE4F6"/>
    <w:lvl w:ilvl="0" w:tplc="C742C55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A727B5"/>
    <w:multiLevelType w:val="hybridMultilevel"/>
    <w:tmpl w:val="E11816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588E9CE4">
      <w:start w:val="1"/>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4C4AF6"/>
    <w:multiLevelType w:val="hybridMultilevel"/>
    <w:tmpl w:val="DCD0C236"/>
    <w:lvl w:ilvl="0" w:tplc="E3C0F6E2">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BF122FB"/>
    <w:multiLevelType w:val="hybridMultilevel"/>
    <w:tmpl w:val="53486218"/>
    <w:lvl w:ilvl="0" w:tplc="542804B8">
      <w:start w:val="1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E17207D"/>
    <w:multiLevelType w:val="hybridMultilevel"/>
    <w:tmpl w:val="11E268E8"/>
    <w:lvl w:ilvl="0" w:tplc="04090001">
      <w:start w:val="1"/>
      <w:numFmt w:val="bullet"/>
      <w:lvlText w:val=""/>
      <w:lvlJc w:val="left"/>
      <w:pPr>
        <w:ind w:left="1550" w:hanging="360"/>
      </w:pPr>
      <w:rPr>
        <w:rFonts w:ascii="Symbol" w:hAnsi="Symbol"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10">
    <w:nsid w:val="511736E5"/>
    <w:multiLevelType w:val="hybridMultilevel"/>
    <w:tmpl w:val="EDB4A4A8"/>
    <w:lvl w:ilvl="0" w:tplc="04404E3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CC0634"/>
    <w:multiLevelType w:val="hybridMultilevel"/>
    <w:tmpl w:val="DA4412D6"/>
    <w:lvl w:ilvl="0" w:tplc="FFFFFFFF">
      <w:start w:val="6"/>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60B246F6"/>
    <w:multiLevelType w:val="singleLevel"/>
    <w:tmpl w:val="4732A386"/>
    <w:lvl w:ilvl="0">
      <w:start w:val="3"/>
      <w:numFmt w:val="decimal"/>
      <w:lvlText w:val="%1"/>
      <w:lvlJc w:val="left"/>
      <w:pPr>
        <w:tabs>
          <w:tab w:val="num" w:pos="1455"/>
        </w:tabs>
        <w:ind w:left="1455" w:hanging="735"/>
      </w:pPr>
      <w:rPr>
        <w:rFonts w:hint="default"/>
      </w:rPr>
    </w:lvl>
  </w:abstractNum>
  <w:num w:numId="1">
    <w:abstractNumId w:val="6"/>
  </w:num>
  <w:num w:numId="2">
    <w:abstractNumId w:val="1"/>
  </w:num>
  <w:num w:numId="3">
    <w:abstractNumId w:val="0"/>
  </w:num>
  <w:num w:numId="4">
    <w:abstractNumId w:val="11"/>
  </w:num>
  <w:num w:numId="5">
    <w:abstractNumId w:val="12"/>
  </w:num>
  <w:num w:numId="6">
    <w:abstractNumId w:val="8"/>
  </w:num>
  <w:num w:numId="7">
    <w:abstractNumId w:val="7"/>
  </w:num>
  <w:num w:numId="8">
    <w:abstractNumId w:val="4"/>
  </w:num>
  <w:num w:numId="9">
    <w:abstractNumId w:val="3"/>
  </w:num>
  <w:num w:numId="10">
    <w:abstractNumId w:val="5"/>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2F"/>
    <w:rsid w:val="00001C29"/>
    <w:rsid w:val="00002D3F"/>
    <w:rsid w:val="000132FC"/>
    <w:rsid w:val="000142AD"/>
    <w:rsid w:val="00015FA1"/>
    <w:rsid w:val="00021A82"/>
    <w:rsid w:val="00021E2E"/>
    <w:rsid w:val="000226A2"/>
    <w:rsid w:val="00022EB0"/>
    <w:rsid w:val="00023677"/>
    <w:rsid w:val="00024267"/>
    <w:rsid w:val="00025F22"/>
    <w:rsid w:val="000349D9"/>
    <w:rsid w:val="0004472E"/>
    <w:rsid w:val="00046887"/>
    <w:rsid w:val="00050EA8"/>
    <w:rsid w:val="000517F7"/>
    <w:rsid w:val="000527F3"/>
    <w:rsid w:val="000572C4"/>
    <w:rsid w:val="00060806"/>
    <w:rsid w:val="00061178"/>
    <w:rsid w:val="00061BC7"/>
    <w:rsid w:val="000628B2"/>
    <w:rsid w:val="0007222E"/>
    <w:rsid w:val="00074356"/>
    <w:rsid w:val="000745A5"/>
    <w:rsid w:val="000760BB"/>
    <w:rsid w:val="00083957"/>
    <w:rsid w:val="00086822"/>
    <w:rsid w:val="0009145C"/>
    <w:rsid w:val="00094832"/>
    <w:rsid w:val="000A013A"/>
    <w:rsid w:val="000A0521"/>
    <w:rsid w:val="000A1952"/>
    <w:rsid w:val="000A4E6A"/>
    <w:rsid w:val="000A5092"/>
    <w:rsid w:val="000A5AA0"/>
    <w:rsid w:val="000C5A98"/>
    <w:rsid w:val="000D1FD6"/>
    <w:rsid w:val="000D37DF"/>
    <w:rsid w:val="000D56FD"/>
    <w:rsid w:val="000F0B05"/>
    <w:rsid w:val="000F40C8"/>
    <w:rsid w:val="00100525"/>
    <w:rsid w:val="00103AC1"/>
    <w:rsid w:val="00114BAC"/>
    <w:rsid w:val="00120125"/>
    <w:rsid w:val="0012254D"/>
    <w:rsid w:val="0012297D"/>
    <w:rsid w:val="001243D1"/>
    <w:rsid w:val="00131BF5"/>
    <w:rsid w:val="00131E40"/>
    <w:rsid w:val="00132730"/>
    <w:rsid w:val="001642E2"/>
    <w:rsid w:val="0016733B"/>
    <w:rsid w:val="0017080B"/>
    <w:rsid w:val="00170AC0"/>
    <w:rsid w:val="00172D3F"/>
    <w:rsid w:val="00175ACA"/>
    <w:rsid w:val="0017685D"/>
    <w:rsid w:val="0017775C"/>
    <w:rsid w:val="001812F9"/>
    <w:rsid w:val="00183E23"/>
    <w:rsid w:val="00184819"/>
    <w:rsid w:val="00185F72"/>
    <w:rsid w:val="001878C8"/>
    <w:rsid w:val="00190590"/>
    <w:rsid w:val="001916AF"/>
    <w:rsid w:val="001928DE"/>
    <w:rsid w:val="001930EE"/>
    <w:rsid w:val="001949C2"/>
    <w:rsid w:val="001B2177"/>
    <w:rsid w:val="001B3645"/>
    <w:rsid w:val="001D3047"/>
    <w:rsid w:val="001D3238"/>
    <w:rsid w:val="001D341B"/>
    <w:rsid w:val="001E08EF"/>
    <w:rsid w:val="001E6641"/>
    <w:rsid w:val="001F3C11"/>
    <w:rsid w:val="001F76B6"/>
    <w:rsid w:val="002002B0"/>
    <w:rsid w:val="00204518"/>
    <w:rsid w:val="0020590F"/>
    <w:rsid w:val="00210822"/>
    <w:rsid w:val="00213D9A"/>
    <w:rsid w:val="0021421E"/>
    <w:rsid w:val="00221AEB"/>
    <w:rsid w:val="00222E34"/>
    <w:rsid w:val="002272F4"/>
    <w:rsid w:val="00230D35"/>
    <w:rsid w:val="00231427"/>
    <w:rsid w:val="002336DC"/>
    <w:rsid w:val="00233BE0"/>
    <w:rsid w:val="0023444D"/>
    <w:rsid w:val="00235DE9"/>
    <w:rsid w:val="00240F34"/>
    <w:rsid w:val="00245714"/>
    <w:rsid w:val="00245B09"/>
    <w:rsid w:val="00250043"/>
    <w:rsid w:val="00255841"/>
    <w:rsid w:val="00256C6D"/>
    <w:rsid w:val="002579A0"/>
    <w:rsid w:val="0026134A"/>
    <w:rsid w:val="00266A25"/>
    <w:rsid w:val="002723FC"/>
    <w:rsid w:val="002730A7"/>
    <w:rsid w:val="002809ED"/>
    <w:rsid w:val="00285799"/>
    <w:rsid w:val="00293736"/>
    <w:rsid w:val="00295A91"/>
    <w:rsid w:val="002A0FE5"/>
    <w:rsid w:val="002A4360"/>
    <w:rsid w:val="002A53BC"/>
    <w:rsid w:val="002B2300"/>
    <w:rsid w:val="002B29ED"/>
    <w:rsid w:val="002B4EDC"/>
    <w:rsid w:val="002C0328"/>
    <w:rsid w:val="002C2B00"/>
    <w:rsid w:val="002C5A20"/>
    <w:rsid w:val="002C5FEA"/>
    <w:rsid w:val="002D2548"/>
    <w:rsid w:val="002D2829"/>
    <w:rsid w:val="002D4D8E"/>
    <w:rsid w:val="002D7A8C"/>
    <w:rsid w:val="002E17D2"/>
    <w:rsid w:val="002E6058"/>
    <w:rsid w:val="002F3BA5"/>
    <w:rsid w:val="002F4145"/>
    <w:rsid w:val="002F5243"/>
    <w:rsid w:val="00306764"/>
    <w:rsid w:val="00307EB5"/>
    <w:rsid w:val="003104D3"/>
    <w:rsid w:val="0031115B"/>
    <w:rsid w:val="003137C8"/>
    <w:rsid w:val="003140CD"/>
    <w:rsid w:val="00315A89"/>
    <w:rsid w:val="00322119"/>
    <w:rsid w:val="00322192"/>
    <w:rsid w:val="003268D7"/>
    <w:rsid w:val="00333CC3"/>
    <w:rsid w:val="00334ECD"/>
    <w:rsid w:val="00341D16"/>
    <w:rsid w:val="00341E69"/>
    <w:rsid w:val="00344883"/>
    <w:rsid w:val="00344ECE"/>
    <w:rsid w:val="003467F5"/>
    <w:rsid w:val="00350B78"/>
    <w:rsid w:val="00355346"/>
    <w:rsid w:val="00355BB0"/>
    <w:rsid w:val="0035602F"/>
    <w:rsid w:val="00356697"/>
    <w:rsid w:val="00357AEB"/>
    <w:rsid w:val="003603D9"/>
    <w:rsid w:val="00367533"/>
    <w:rsid w:val="003758EE"/>
    <w:rsid w:val="0037700C"/>
    <w:rsid w:val="00390B0F"/>
    <w:rsid w:val="0039346B"/>
    <w:rsid w:val="003A00CF"/>
    <w:rsid w:val="003A178B"/>
    <w:rsid w:val="003A3742"/>
    <w:rsid w:val="003A5A85"/>
    <w:rsid w:val="003B3A7E"/>
    <w:rsid w:val="003B49C3"/>
    <w:rsid w:val="003C575E"/>
    <w:rsid w:val="003C586A"/>
    <w:rsid w:val="003C64A9"/>
    <w:rsid w:val="003D0B6A"/>
    <w:rsid w:val="003E266C"/>
    <w:rsid w:val="003E42BF"/>
    <w:rsid w:val="003E73E0"/>
    <w:rsid w:val="003F6948"/>
    <w:rsid w:val="003F7521"/>
    <w:rsid w:val="003F792B"/>
    <w:rsid w:val="003F7E52"/>
    <w:rsid w:val="00405453"/>
    <w:rsid w:val="004174B0"/>
    <w:rsid w:val="00420535"/>
    <w:rsid w:val="004236C8"/>
    <w:rsid w:val="00432BE8"/>
    <w:rsid w:val="00434863"/>
    <w:rsid w:val="004429EC"/>
    <w:rsid w:val="004442F2"/>
    <w:rsid w:val="00450394"/>
    <w:rsid w:val="00452F84"/>
    <w:rsid w:val="00453A49"/>
    <w:rsid w:val="00463011"/>
    <w:rsid w:val="00471DC0"/>
    <w:rsid w:val="00472499"/>
    <w:rsid w:val="0047352A"/>
    <w:rsid w:val="0047728B"/>
    <w:rsid w:val="00480117"/>
    <w:rsid w:val="00490C7A"/>
    <w:rsid w:val="004919E0"/>
    <w:rsid w:val="00497909"/>
    <w:rsid w:val="004A03B6"/>
    <w:rsid w:val="004A3612"/>
    <w:rsid w:val="004A4EC1"/>
    <w:rsid w:val="004A7152"/>
    <w:rsid w:val="004B0138"/>
    <w:rsid w:val="004B0AFA"/>
    <w:rsid w:val="004B1FAA"/>
    <w:rsid w:val="004B4071"/>
    <w:rsid w:val="004C00C5"/>
    <w:rsid w:val="004D5225"/>
    <w:rsid w:val="004D7F13"/>
    <w:rsid w:val="004E2047"/>
    <w:rsid w:val="004E503E"/>
    <w:rsid w:val="004F4961"/>
    <w:rsid w:val="004F53DE"/>
    <w:rsid w:val="0050310C"/>
    <w:rsid w:val="005067C9"/>
    <w:rsid w:val="005157E5"/>
    <w:rsid w:val="00517512"/>
    <w:rsid w:val="00523CBB"/>
    <w:rsid w:val="00543722"/>
    <w:rsid w:val="00545411"/>
    <w:rsid w:val="00546BBA"/>
    <w:rsid w:val="00553EE4"/>
    <w:rsid w:val="0055627B"/>
    <w:rsid w:val="005604D2"/>
    <w:rsid w:val="00560621"/>
    <w:rsid w:val="00560796"/>
    <w:rsid w:val="005818E1"/>
    <w:rsid w:val="00587041"/>
    <w:rsid w:val="00587AAA"/>
    <w:rsid w:val="00590FB7"/>
    <w:rsid w:val="005A1132"/>
    <w:rsid w:val="005A16F4"/>
    <w:rsid w:val="005A2594"/>
    <w:rsid w:val="005A518A"/>
    <w:rsid w:val="005C5D9F"/>
    <w:rsid w:val="005C6D02"/>
    <w:rsid w:val="005D07EC"/>
    <w:rsid w:val="005E1030"/>
    <w:rsid w:val="005E4B8B"/>
    <w:rsid w:val="005F0384"/>
    <w:rsid w:val="005F054B"/>
    <w:rsid w:val="005F10E7"/>
    <w:rsid w:val="005F122F"/>
    <w:rsid w:val="005F2DB8"/>
    <w:rsid w:val="005F7929"/>
    <w:rsid w:val="005F7DB9"/>
    <w:rsid w:val="00605DA9"/>
    <w:rsid w:val="00606A99"/>
    <w:rsid w:val="006079F7"/>
    <w:rsid w:val="006143F2"/>
    <w:rsid w:val="006174D8"/>
    <w:rsid w:val="00617EFC"/>
    <w:rsid w:val="00620734"/>
    <w:rsid w:val="00621327"/>
    <w:rsid w:val="00623F17"/>
    <w:rsid w:val="00627374"/>
    <w:rsid w:val="00630893"/>
    <w:rsid w:val="00631FC0"/>
    <w:rsid w:val="006337F7"/>
    <w:rsid w:val="00637224"/>
    <w:rsid w:val="0064231C"/>
    <w:rsid w:val="00642EFF"/>
    <w:rsid w:val="00646BEF"/>
    <w:rsid w:val="00650B7E"/>
    <w:rsid w:val="00651622"/>
    <w:rsid w:val="00651E75"/>
    <w:rsid w:val="00654823"/>
    <w:rsid w:val="006558A9"/>
    <w:rsid w:val="00655F81"/>
    <w:rsid w:val="0065771A"/>
    <w:rsid w:val="006625F4"/>
    <w:rsid w:val="006628F5"/>
    <w:rsid w:val="00662CF8"/>
    <w:rsid w:val="00670BE7"/>
    <w:rsid w:val="0067619F"/>
    <w:rsid w:val="006769D4"/>
    <w:rsid w:val="00680ABF"/>
    <w:rsid w:val="00692992"/>
    <w:rsid w:val="006A07B7"/>
    <w:rsid w:val="006B025A"/>
    <w:rsid w:val="006B02C4"/>
    <w:rsid w:val="006B1CDB"/>
    <w:rsid w:val="006B73A6"/>
    <w:rsid w:val="006C08FC"/>
    <w:rsid w:val="006C24EA"/>
    <w:rsid w:val="006D4A8D"/>
    <w:rsid w:val="006F001F"/>
    <w:rsid w:val="006F0A57"/>
    <w:rsid w:val="006F2877"/>
    <w:rsid w:val="006F39B4"/>
    <w:rsid w:val="006F7F96"/>
    <w:rsid w:val="007069B8"/>
    <w:rsid w:val="007074C2"/>
    <w:rsid w:val="00707C27"/>
    <w:rsid w:val="00712DE9"/>
    <w:rsid w:val="007147BB"/>
    <w:rsid w:val="00714BC8"/>
    <w:rsid w:val="007153A4"/>
    <w:rsid w:val="0071797D"/>
    <w:rsid w:val="007225AC"/>
    <w:rsid w:val="00723CA4"/>
    <w:rsid w:val="0073315A"/>
    <w:rsid w:val="0073496F"/>
    <w:rsid w:val="0074288B"/>
    <w:rsid w:val="00742CA6"/>
    <w:rsid w:val="00745D53"/>
    <w:rsid w:val="00747984"/>
    <w:rsid w:val="007521F1"/>
    <w:rsid w:val="00753002"/>
    <w:rsid w:val="0075671D"/>
    <w:rsid w:val="00763C78"/>
    <w:rsid w:val="00765998"/>
    <w:rsid w:val="00766008"/>
    <w:rsid w:val="0076613B"/>
    <w:rsid w:val="00770E8D"/>
    <w:rsid w:val="00777D1B"/>
    <w:rsid w:val="0078053B"/>
    <w:rsid w:val="007851C8"/>
    <w:rsid w:val="00785211"/>
    <w:rsid w:val="007932D8"/>
    <w:rsid w:val="007937A0"/>
    <w:rsid w:val="00796D10"/>
    <w:rsid w:val="007A1C8F"/>
    <w:rsid w:val="007A3862"/>
    <w:rsid w:val="007A6B50"/>
    <w:rsid w:val="007A7254"/>
    <w:rsid w:val="007B0423"/>
    <w:rsid w:val="007B18B2"/>
    <w:rsid w:val="007B31FE"/>
    <w:rsid w:val="007B3D7B"/>
    <w:rsid w:val="007B5B1A"/>
    <w:rsid w:val="007B65AC"/>
    <w:rsid w:val="007C5B72"/>
    <w:rsid w:val="007C6B53"/>
    <w:rsid w:val="007C731D"/>
    <w:rsid w:val="007D2025"/>
    <w:rsid w:val="007D6B5F"/>
    <w:rsid w:val="007F1563"/>
    <w:rsid w:val="007F1DB3"/>
    <w:rsid w:val="00801F7D"/>
    <w:rsid w:val="00806083"/>
    <w:rsid w:val="008121BD"/>
    <w:rsid w:val="00812663"/>
    <w:rsid w:val="00813CA8"/>
    <w:rsid w:val="008151ED"/>
    <w:rsid w:val="00827FFB"/>
    <w:rsid w:val="0083356B"/>
    <w:rsid w:val="00837BE6"/>
    <w:rsid w:val="00840C92"/>
    <w:rsid w:val="008435C2"/>
    <w:rsid w:val="008458D0"/>
    <w:rsid w:val="00853B55"/>
    <w:rsid w:val="00860901"/>
    <w:rsid w:val="00860E2F"/>
    <w:rsid w:val="008679F9"/>
    <w:rsid w:val="00874413"/>
    <w:rsid w:val="00876052"/>
    <w:rsid w:val="008775DA"/>
    <w:rsid w:val="00880184"/>
    <w:rsid w:val="00886247"/>
    <w:rsid w:val="008905EB"/>
    <w:rsid w:val="00890C82"/>
    <w:rsid w:val="008927D8"/>
    <w:rsid w:val="00895F72"/>
    <w:rsid w:val="008A04DF"/>
    <w:rsid w:val="008A1081"/>
    <w:rsid w:val="008A2EF9"/>
    <w:rsid w:val="008A34F0"/>
    <w:rsid w:val="008A6902"/>
    <w:rsid w:val="008A782F"/>
    <w:rsid w:val="008B4E49"/>
    <w:rsid w:val="008C1882"/>
    <w:rsid w:val="008C1CEC"/>
    <w:rsid w:val="008C2FA7"/>
    <w:rsid w:val="008C4BEC"/>
    <w:rsid w:val="008C730D"/>
    <w:rsid w:val="008D0D53"/>
    <w:rsid w:val="008D1325"/>
    <w:rsid w:val="008D1B4B"/>
    <w:rsid w:val="008D635E"/>
    <w:rsid w:val="008D7AC6"/>
    <w:rsid w:val="008F5A2F"/>
    <w:rsid w:val="008F7180"/>
    <w:rsid w:val="0090209D"/>
    <w:rsid w:val="00904373"/>
    <w:rsid w:val="009067BC"/>
    <w:rsid w:val="009100CC"/>
    <w:rsid w:val="00910550"/>
    <w:rsid w:val="00910C51"/>
    <w:rsid w:val="00912EFA"/>
    <w:rsid w:val="00917367"/>
    <w:rsid w:val="00924013"/>
    <w:rsid w:val="00925858"/>
    <w:rsid w:val="00931D97"/>
    <w:rsid w:val="0093524C"/>
    <w:rsid w:val="00936B45"/>
    <w:rsid w:val="009407BD"/>
    <w:rsid w:val="0094155D"/>
    <w:rsid w:val="0094449C"/>
    <w:rsid w:val="00947D06"/>
    <w:rsid w:val="009502CE"/>
    <w:rsid w:val="009506D5"/>
    <w:rsid w:val="00960117"/>
    <w:rsid w:val="009606ED"/>
    <w:rsid w:val="00960CE0"/>
    <w:rsid w:val="009614A9"/>
    <w:rsid w:val="00961E6B"/>
    <w:rsid w:val="009711D2"/>
    <w:rsid w:val="00972B29"/>
    <w:rsid w:val="0097322D"/>
    <w:rsid w:val="009775E1"/>
    <w:rsid w:val="00987D02"/>
    <w:rsid w:val="00995DC3"/>
    <w:rsid w:val="009A0471"/>
    <w:rsid w:val="009A1838"/>
    <w:rsid w:val="009A31F0"/>
    <w:rsid w:val="009A76CC"/>
    <w:rsid w:val="009A7BE6"/>
    <w:rsid w:val="009A7C53"/>
    <w:rsid w:val="009B11CF"/>
    <w:rsid w:val="009B1A46"/>
    <w:rsid w:val="009B24DD"/>
    <w:rsid w:val="009B380A"/>
    <w:rsid w:val="009C0977"/>
    <w:rsid w:val="009C261F"/>
    <w:rsid w:val="009C41C3"/>
    <w:rsid w:val="009D2086"/>
    <w:rsid w:val="009D47E3"/>
    <w:rsid w:val="009D61BA"/>
    <w:rsid w:val="009E1BBD"/>
    <w:rsid w:val="009E7AB3"/>
    <w:rsid w:val="009F693B"/>
    <w:rsid w:val="00A048EA"/>
    <w:rsid w:val="00A0740E"/>
    <w:rsid w:val="00A11193"/>
    <w:rsid w:val="00A21691"/>
    <w:rsid w:val="00A240DF"/>
    <w:rsid w:val="00A24879"/>
    <w:rsid w:val="00A34A1F"/>
    <w:rsid w:val="00A44113"/>
    <w:rsid w:val="00A46429"/>
    <w:rsid w:val="00A5199E"/>
    <w:rsid w:val="00A614DD"/>
    <w:rsid w:val="00A65916"/>
    <w:rsid w:val="00A66991"/>
    <w:rsid w:val="00A709A9"/>
    <w:rsid w:val="00A71D19"/>
    <w:rsid w:val="00A72156"/>
    <w:rsid w:val="00A76D49"/>
    <w:rsid w:val="00A7732E"/>
    <w:rsid w:val="00A81F7B"/>
    <w:rsid w:val="00A92994"/>
    <w:rsid w:val="00A94809"/>
    <w:rsid w:val="00AA0A52"/>
    <w:rsid w:val="00AA4305"/>
    <w:rsid w:val="00AB1960"/>
    <w:rsid w:val="00AB25B5"/>
    <w:rsid w:val="00AB72BF"/>
    <w:rsid w:val="00AB7AF9"/>
    <w:rsid w:val="00AF473F"/>
    <w:rsid w:val="00B15C97"/>
    <w:rsid w:val="00B23A87"/>
    <w:rsid w:val="00B24614"/>
    <w:rsid w:val="00B2786C"/>
    <w:rsid w:val="00B32586"/>
    <w:rsid w:val="00B34FB5"/>
    <w:rsid w:val="00B35DBC"/>
    <w:rsid w:val="00B3641E"/>
    <w:rsid w:val="00B469A9"/>
    <w:rsid w:val="00B51609"/>
    <w:rsid w:val="00B572AF"/>
    <w:rsid w:val="00B72E70"/>
    <w:rsid w:val="00B8040C"/>
    <w:rsid w:val="00B80EBF"/>
    <w:rsid w:val="00B84BE0"/>
    <w:rsid w:val="00B86588"/>
    <w:rsid w:val="00B906F9"/>
    <w:rsid w:val="00B91F75"/>
    <w:rsid w:val="00B9214E"/>
    <w:rsid w:val="00B94C44"/>
    <w:rsid w:val="00B95469"/>
    <w:rsid w:val="00B974E8"/>
    <w:rsid w:val="00BA0426"/>
    <w:rsid w:val="00BA3BD4"/>
    <w:rsid w:val="00BA63A2"/>
    <w:rsid w:val="00BA72C2"/>
    <w:rsid w:val="00BB386D"/>
    <w:rsid w:val="00BB4403"/>
    <w:rsid w:val="00BB497D"/>
    <w:rsid w:val="00BB5646"/>
    <w:rsid w:val="00BC20F3"/>
    <w:rsid w:val="00BC2A39"/>
    <w:rsid w:val="00BC3F95"/>
    <w:rsid w:val="00BC54D1"/>
    <w:rsid w:val="00BD32B5"/>
    <w:rsid w:val="00BE1E32"/>
    <w:rsid w:val="00BE47EC"/>
    <w:rsid w:val="00BE5BAB"/>
    <w:rsid w:val="00BE7142"/>
    <w:rsid w:val="00BE7844"/>
    <w:rsid w:val="00BF11F0"/>
    <w:rsid w:val="00BF13D7"/>
    <w:rsid w:val="00BF1885"/>
    <w:rsid w:val="00BF5250"/>
    <w:rsid w:val="00BF57D4"/>
    <w:rsid w:val="00C05873"/>
    <w:rsid w:val="00C12C4B"/>
    <w:rsid w:val="00C15F35"/>
    <w:rsid w:val="00C16DE8"/>
    <w:rsid w:val="00C17BEE"/>
    <w:rsid w:val="00C23664"/>
    <w:rsid w:val="00C320C0"/>
    <w:rsid w:val="00C32EA2"/>
    <w:rsid w:val="00C369A0"/>
    <w:rsid w:val="00C417D9"/>
    <w:rsid w:val="00C44F25"/>
    <w:rsid w:val="00C45C7C"/>
    <w:rsid w:val="00C47C9F"/>
    <w:rsid w:val="00C51D98"/>
    <w:rsid w:val="00C60C60"/>
    <w:rsid w:val="00C62033"/>
    <w:rsid w:val="00C6327C"/>
    <w:rsid w:val="00C659EA"/>
    <w:rsid w:val="00C67D66"/>
    <w:rsid w:val="00C705BE"/>
    <w:rsid w:val="00C71E02"/>
    <w:rsid w:val="00C720F9"/>
    <w:rsid w:val="00C76DF6"/>
    <w:rsid w:val="00C861FA"/>
    <w:rsid w:val="00C87523"/>
    <w:rsid w:val="00CA2EC5"/>
    <w:rsid w:val="00CA4FA2"/>
    <w:rsid w:val="00CB2359"/>
    <w:rsid w:val="00CB43F1"/>
    <w:rsid w:val="00CB5F8E"/>
    <w:rsid w:val="00CB7EAE"/>
    <w:rsid w:val="00CC0190"/>
    <w:rsid w:val="00CC1015"/>
    <w:rsid w:val="00CC41E9"/>
    <w:rsid w:val="00CC43CE"/>
    <w:rsid w:val="00CD01DE"/>
    <w:rsid w:val="00CD0F0D"/>
    <w:rsid w:val="00CD13B2"/>
    <w:rsid w:val="00CD21FC"/>
    <w:rsid w:val="00CD6AC5"/>
    <w:rsid w:val="00CD725A"/>
    <w:rsid w:val="00CE03B6"/>
    <w:rsid w:val="00CE36F1"/>
    <w:rsid w:val="00CE3F17"/>
    <w:rsid w:val="00CE7816"/>
    <w:rsid w:val="00CF116C"/>
    <w:rsid w:val="00CF1973"/>
    <w:rsid w:val="00D105DC"/>
    <w:rsid w:val="00D123A6"/>
    <w:rsid w:val="00D172FC"/>
    <w:rsid w:val="00D214D0"/>
    <w:rsid w:val="00D22323"/>
    <w:rsid w:val="00D24CB4"/>
    <w:rsid w:val="00D27239"/>
    <w:rsid w:val="00D3204A"/>
    <w:rsid w:val="00D320D3"/>
    <w:rsid w:val="00D324D5"/>
    <w:rsid w:val="00D333B2"/>
    <w:rsid w:val="00D340F4"/>
    <w:rsid w:val="00D348D6"/>
    <w:rsid w:val="00D36362"/>
    <w:rsid w:val="00D40E18"/>
    <w:rsid w:val="00D50E4F"/>
    <w:rsid w:val="00D525BA"/>
    <w:rsid w:val="00D54682"/>
    <w:rsid w:val="00D57C99"/>
    <w:rsid w:val="00D60497"/>
    <w:rsid w:val="00D611E1"/>
    <w:rsid w:val="00D63563"/>
    <w:rsid w:val="00D655A9"/>
    <w:rsid w:val="00D8589C"/>
    <w:rsid w:val="00D86EF1"/>
    <w:rsid w:val="00D918CA"/>
    <w:rsid w:val="00D968AE"/>
    <w:rsid w:val="00DA1CC9"/>
    <w:rsid w:val="00DA2932"/>
    <w:rsid w:val="00DB1B63"/>
    <w:rsid w:val="00DB49AA"/>
    <w:rsid w:val="00DB4CC2"/>
    <w:rsid w:val="00DB5E3F"/>
    <w:rsid w:val="00DB6430"/>
    <w:rsid w:val="00DB65B0"/>
    <w:rsid w:val="00DB7904"/>
    <w:rsid w:val="00DC03AC"/>
    <w:rsid w:val="00DC1071"/>
    <w:rsid w:val="00DC46AF"/>
    <w:rsid w:val="00DD3C05"/>
    <w:rsid w:val="00DE149A"/>
    <w:rsid w:val="00DE20E1"/>
    <w:rsid w:val="00DE58B8"/>
    <w:rsid w:val="00DF179A"/>
    <w:rsid w:val="00DF271C"/>
    <w:rsid w:val="00DF4147"/>
    <w:rsid w:val="00DF4EC8"/>
    <w:rsid w:val="00DF77EB"/>
    <w:rsid w:val="00E02E52"/>
    <w:rsid w:val="00E12E95"/>
    <w:rsid w:val="00E14334"/>
    <w:rsid w:val="00E15BD0"/>
    <w:rsid w:val="00E16076"/>
    <w:rsid w:val="00E16769"/>
    <w:rsid w:val="00E17991"/>
    <w:rsid w:val="00E20221"/>
    <w:rsid w:val="00E2039E"/>
    <w:rsid w:val="00E26457"/>
    <w:rsid w:val="00E27A0C"/>
    <w:rsid w:val="00E30014"/>
    <w:rsid w:val="00E32049"/>
    <w:rsid w:val="00E35CB1"/>
    <w:rsid w:val="00E4387A"/>
    <w:rsid w:val="00E439FD"/>
    <w:rsid w:val="00E43B7A"/>
    <w:rsid w:val="00E47F7D"/>
    <w:rsid w:val="00E53990"/>
    <w:rsid w:val="00E54DD9"/>
    <w:rsid w:val="00E61830"/>
    <w:rsid w:val="00E61ABF"/>
    <w:rsid w:val="00E63C6E"/>
    <w:rsid w:val="00E6429B"/>
    <w:rsid w:val="00E650FC"/>
    <w:rsid w:val="00E66479"/>
    <w:rsid w:val="00E737B1"/>
    <w:rsid w:val="00E8562C"/>
    <w:rsid w:val="00E85B74"/>
    <w:rsid w:val="00E907B5"/>
    <w:rsid w:val="00E9560B"/>
    <w:rsid w:val="00EA1770"/>
    <w:rsid w:val="00EA7FF8"/>
    <w:rsid w:val="00EB0957"/>
    <w:rsid w:val="00EB2164"/>
    <w:rsid w:val="00EB3F7D"/>
    <w:rsid w:val="00EB5129"/>
    <w:rsid w:val="00EB55D6"/>
    <w:rsid w:val="00EC05A7"/>
    <w:rsid w:val="00EC0671"/>
    <w:rsid w:val="00EC43A6"/>
    <w:rsid w:val="00ED074F"/>
    <w:rsid w:val="00ED561E"/>
    <w:rsid w:val="00ED639E"/>
    <w:rsid w:val="00EE76D0"/>
    <w:rsid w:val="00EF318E"/>
    <w:rsid w:val="00EF3F05"/>
    <w:rsid w:val="00EF7386"/>
    <w:rsid w:val="00F0742C"/>
    <w:rsid w:val="00F07790"/>
    <w:rsid w:val="00F161CB"/>
    <w:rsid w:val="00F214BC"/>
    <w:rsid w:val="00F2193F"/>
    <w:rsid w:val="00F222C8"/>
    <w:rsid w:val="00F227B7"/>
    <w:rsid w:val="00F37D8C"/>
    <w:rsid w:val="00F44717"/>
    <w:rsid w:val="00F50551"/>
    <w:rsid w:val="00F52252"/>
    <w:rsid w:val="00F52A87"/>
    <w:rsid w:val="00F53F6B"/>
    <w:rsid w:val="00F606A1"/>
    <w:rsid w:val="00F60E6A"/>
    <w:rsid w:val="00F6179A"/>
    <w:rsid w:val="00F64084"/>
    <w:rsid w:val="00F657AD"/>
    <w:rsid w:val="00F67A78"/>
    <w:rsid w:val="00F73ACD"/>
    <w:rsid w:val="00F805F7"/>
    <w:rsid w:val="00F83B83"/>
    <w:rsid w:val="00F85C99"/>
    <w:rsid w:val="00F85E56"/>
    <w:rsid w:val="00F90492"/>
    <w:rsid w:val="00F9205C"/>
    <w:rsid w:val="00F93D18"/>
    <w:rsid w:val="00F94A76"/>
    <w:rsid w:val="00F959C0"/>
    <w:rsid w:val="00F96E47"/>
    <w:rsid w:val="00FA0C1D"/>
    <w:rsid w:val="00FA1988"/>
    <w:rsid w:val="00FA43EA"/>
    <w:rsid w:val="00FA572C"/>
    <w:rsid w:val="00FA5BE2"/>
    <w:rsid w:val="00FB1037"/>
    <w:rsid w:val="00FB5ECD"/>
    <w:rsid w:val="00FB647D"/>
    <w:rsid w:val="00FC165E"/>
    <w:rsid w:val="00FC1EED"/>
    <w:rsid w:val="00FD709E"/>
    <w:rsid w:val="00FE05BB"/>
    <w:rsid w:val="00FE3179"/>
    <w:rsid w:val="00FE3A2A"/>
    <w:rsid w:val="00FE582F"/>
    <w:rsid w:val="00FE70D9"/>
    <w:rsid w:val="00FF24D1"/>
    <w:rsid w:val="00FF39DE"/>
    <w:rsid w:val="00FF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6822"/>
    <w:rPr>
      <w:sz w:val="24"/>
      <w:szCs w:val="24"/>
    </w:rPr>
  </w:style>
  <w:style w:type="paragraph" w:styleId="Heading2">
    <w:name w:val="heading 2"/>
    <w:basedOn w:val="Normal"/>
    <w:next w:val="Normal"/>
    <w:qFormat/>
    <w:rsid w:val="00765998"/>
    <w:pPr>
      <w:keepNext/>
      <w:tabs>
        <w:tab w:val="left" w:pos="-720"/>
      </w:tabs>
      <w:suppressAutoHyphens/>
      <w:ind w:right="72"/>
      <w:jc w:val="center"/>
      <w:outlineLvl w:val="1"/>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54D1"/>
    <w:rPr>
      <w:rFonts w:ascii="Tahoma" w:hAnsi="Tahoma" w:cs="Tahoma"/>
      <w:sz w:val="16"/>
      <w:szCs w:val="16"/>
    </w:rPr>
  </w:style>
  <w:style w:type="character" w:styleId="Hyperlink">
    <w:name w:val="Hyperlink"/>
    <w:basedOn w:val="DefaultParagraphFont"/>
    <w:rsid w:val="00BC54D1"/>
    <w:rPr>
      <w:color w:val="0000FF"/>
      <w:u w:val="single"/>
    </w:rPr>
  </w:style>
  <w:style w:type="paragraph" w:styleId="Header">
    <w:name w:val="header"/>
    <w:basedOn w:val="Normal"/>
    <w:rsid w:val="00BC54D1"/>
    <w:pPr>
      <w:tabs>
        <w:tab w:val="center" w:pos="4320"/>
        <w:tab w:val="right" w:pos="8640"/>
      </w:tabs>
    </w:pPr>
  </w:style>
  <w:style w:type="paragraph" w:styleId="Footer">
    <w:name w:val="footer"/>
    <w:basedOn w:val="Normal"/>
    <w:link w:val="FooterChar"/>
    <w:uiPriority w:val="99"/>
    <w:rsid w:val="00BC54D1"/>
    <w:pPr>
      <w:tabs>
        <w:tab w:val="center" w:pos="4320"/>
        <w:tab w:val="right" w:pos="8640"/>
      </w:tabs>
    </w:pPr>
  </w:style>
  <w:style w:type="character" w:customStyle="1" w:styleId="pbxdeptmain">
    <w:name w:val="pbxdeptmain"/>
    <w:basedOn w:val="DefaultParagraphFont"/>
    <w:rsid w:val="00C71E02"/>
  </w:style>
  <w:style w:type="character" w:styleId="CommentReference">
    <w:name w:val="annotation reference"/>
    <w:basedOn w:val="DefaultParagraphFont"/>
    <w:semiHidden/>
    <w:rsid w:val="006F7F96"/>
    <w:rPr>
      <w:sz w:val="16"/>
      <w:szCs w:val="16"/>
    </w:rPr>
  </w:style>
  <w:style w:type="paragraph" w:styleId="CommentText">
    <w:name w:val="annotation text"/>
    <w:basedOn w:val="Normal"/>
    <w:semiHidden/>
    <w:rsid w:val="006F7F96"/>
    <w:rPr>
      <w:sz w:val="20"/>
      <w:szCs w:val="20"/>
    </w:rPr>
  </w:style>
  <w:style w:type="paragraph" w:styleId="CommentSubject">
    <w:name w:val="annotation subject"/>
    <w:basedOn w:val="CommentText"/>
    <w:next w:val="CommentText"/>
    <w:semiHidden/>
    <w:rsid w:val="006F7F96"/>
    <w:rPr>
      <w:b/>
      <w:bCs/>
    </w:rPr>
  </w:style>
  <w:style w:type="table" w:styleId="TableGrid">
    <w:name w:val="Table Grid"/>
    <w:basedOn w:val="TableNormal"/>
    <w:rsid w:val="003B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65998"/>
    <w:pPr>
      <w:spacing w:after="240"/>
      <w:jc w:val="both"/>
    </w:pPr>
    <w:rPr>
      <w:rFonts w:ascii="Arial" w:hAnsi="Arial"/>
      <w:i/>
      <w:iCs/>
    </w:rPr>
  </w:style>
  <w:style w:type="character" w:styleId="PageNumber">
    <w:name w:val="page number"/>
    <w:basedOn w:val="DefaultParagraphFont"/>
    <w:rsid w:val="00765998"/>
  </w:style>
  <w:style w:type="paragraph" w:styleId="BodyTextIndent">
    <w:name w:val="Body Text Indent"/>
    <w:basedOn w:val="Normal"/>
    <w:rsid w:val="00765998"/>
    <w:pPr>
      <w:ind w:left="1800"/>
    </w:pPr>
    <w:rPr>
      <w:rFonts w:ascii="Arial" w:hAnsi="Arial"/>
    </w:rPr>
  </w:style>
  <w:style w:type="paragraph" w:styleId="BodyTextIndent3">
    <w:name w:val="Body Text Indent 3"/>
    <w:basedOn w:val="Normal"/>
    <w:rsid w:val="00765998"/>
    <w:pPr>
      <w:spacing w:after="120"/>
      <w:ind w:left="360"/>
    </w:pPr>
    <w:rPr>
      <w:rFonts w:ascii="Arial" w:hAnsi="Arial"/>
      <w:sz w:val="16"/>
      <w:szCs w:val="16"/>
    </w:rPr>
  </w:style>
  <w:style w:type="paragraph" w:styleId="BlockText">
    <w:name w:val="Block Text"/>
    <w:basedOn w:val="Normal"/>
    <w:rsid w:val="00DB65B0"/>
    <w:pPr>
      <w:ind w:left="720" w:right="720"/>
      <w:jc w:val="both"/>
    </w:pPr>
    <w:rPr>
      <w:rFonts w:ascii="Univers" w:hAnsi="Univers"/>
      <w:szCs w:val="20"/>
    </w:rPr>
  </w:style>
  <w:style w:type="character" w:customStyle="1" w:styleId="FooterChar">
    <w:name w:val="Footer Char"/>
    <w:basedOn w:val="DefaultParagraphFont"/>
    <w:link w:val="Footer"/>
    <w:uiPriority w:val="99"/>
    <w:rsid w:val="00BF5250"/>
    <w:rPr>
      <w:sz w:val="24"/>
      <w:szCs w:val="24"/>
    </w:rPr>
  </w:style>
  <w:style w:type="paragraph" w:customStyle="1" w:styleId="Default">
    <w:name w:val="Default"/>
    <w:rsid w:val="007074C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D105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6822"/>
    <w:rPr>
      <w:sz w:val="24"/>
      <w:szCs w:val="24"/>
    </w:rPr>
  </w:style>
  <w:style w:type="paragraph" w:styleId="Heading2">
    <w:name w:val="heading 2"/>
    <w:basedOn w:val="Normal"/>
    <w:next w:val="Normal"/>
    <w:qFormat/>
    <w:rsid w:val="00765998"/>
    <w:pPr>
      <w:keepNext/>
      <w:tabs>
        <w:tab w:val="left" w:pos="-720"/>
      </w:tabs>
      <w:suppressAutoHyphens/>
      <w:ind w:right="72"/>
      <w:jc w:val="center"/>
      <w:outlineLvl w:val="1"/>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54D1"/>
    <w:rPr>
      <w:rFonts w:ascii="Tahoma" w:hAnsi="Tahoma" w:cs="Tahoma"/>
      <w:sz w:val="16"/>
      <w:szCs w:val="16"/>
    </w:rPr>
  </w:style>
  <w:style w:type="character" w:styleId="Hyperlink">
    <w:name w:val="Hyperlink"/>
    <w:basedOn w:val="DefaultParagraphFont"/>
    <w:rsid w:val="00BC54D1"/>
    <w:rPr>
      <w:color w:val="0000FF"/>
      <w:u w:val="single"/>
    </w:rPr>
  </w:style>
  <w:style w:type="paragraph" w:styleId="Header">
    <w:name w:val="header"/>
    <w:basedOn w:val="Normal"/>
    <w:rsid w:val="00BC54D1"/>
    <w:pPr>
      <w:tabs>
        <w:tab w:val="center" w:pos="4320"/>
        <w:tab w:val="right" w:pos="8640"/>
      </w:tabs>
    </w:pPr>
  </w:style>
  <w:style w:type="paragraph" w:styleId="Footer">
    <w:name w:val="footer"/>
    <w:basedOn w:val="Normal"/>
    <w:link w:val="FooterChar"/>
    <w:uiPriority w:val="99"/>
    <w:rsid w:val="00BC54D1"/>
    <w:pPr>
      <w:tabs>
        <w:tab w:val="center" w:pos="4320"/>
        <w:tab w:val="right" w:pos="8640"/>
      </w:tabs>
    </w:pPr>
  </w:style>
  <w:style w:type="character" w:customStyle="1" w:styleId="pbxdeptmain">
    <w:name w:val="pbxdeptmain"/>
    <w:basedOn w:val="DefaultParagraphFont"/>
    <w:rsid w:val="00C71E02"/>
  </w:style>
  <w:style w:type="character" w:styleId="CommentReference">
    <w:name w:val="annotation reference"/>
    <w:basedOn w:val="DefaultParagraphFont"/>
    <w:semiHidden/>
    <w:rsid w:val="006F7F96"/>
    <w:rPr>
      <w:sz w:val="16"/>
      <w:szCs w:val="16"/>
    </w:rPr>
  </w:style>
  <w:style w:type="paragraph" w:styleId="CommentText">
    <w:name w:val="annotation text"/>
    <w:basedOn w:val="Normal"/>
    <w:semiHidden/>
    <w:rsid w:val="006F7F96"/>
    <w:rPr>
      <w:sz w:val="20"/>
      <w:szCs w:val="20"/>
    </w:rPr>
  </w:style>
  <w:style w:type="paragraph" w:styleId="CommentSubject">
    <w:name w:val="annotation subject"/>
    <w:basedOn w:val="CommentText"/>
    <w:next w:val="CommentText"/>
    <w:semiHidden/>
    <w:rsid w:val="006F7F96"/>
    <w:rPr>
      <w:b/>
      <w:bCs/>
    </w:rPr>
  </w:style>
  <w:style w:type="table" w:styleId="TableGrid">
    <w:name w:val="Table Grid"/>
    <w:basedOn w:val="TableNormal"/>
    <w:rsid w:val="003B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65998"/>
    <w:pPr>
      <w:spacing w:after="240"/>
      <w:jc w:val="both"/>
    </w:pPr>
    <w:rPr>
      <w:rFonts w:ascii="Arial" w:hAnsi="Arial"/>
      <w:i/>
      <w:iCs/>
    </w:rPr>
  </w:style>
  <w:style w:type="character" w:styleId="PageNumber">
    <w:name w:val="page number"/>
    <w:basedOn w:val="DefaultParagraphFont"/>
    <w:rsid w:val="00765998"/>
  </w:style>
  <w:style w:type="paragraph" w:styleId="BodyTextIndent">
    <w:name w:val="Body Text Indent"/>
    <w:basedOn w:val="Normal"/>
    <w:rsid w:val="00765998"/>
    <w:pPr>
      <w:ind w:left="1800"/>
    </w:pPr>
    <w:rPr>
      <w:rFonts w:ascii="Arial" w:hAnsi="Arial"/>
    </w:rPr>
  </w:style>
  <w:style w:type="paragraph" w:styleId="BodyTextIndent3">
    <w:name w:val="Body Text Indent 3"/>
    <w:basedOn w:val="Normal"/>
    <w:rsid w:val="00765998"/>
    <w:pPr>
      <w:spacing w:after="120"/>
      <w:ind w:left="360"/>
    </w:pPr>
    <w:rPr>
      <w:rFonts w:ascii="Arial" w:hAnsi="Arial"/>
      <w:sz w:val="16"/>
      <w:szCs w:val="16"/>
    </w:rPr>
  </w:style>
  <w:style w:type="paragraph" w:styleId="BlockText">
    <w:name w:val="Block Text"/>
    <w:basedOn w:val="Normal"/>
    <w:rsid w:val="00DB65B0"/>
    <w:pPr>
      <w:ind w:left="720" w:right="720"/>
      <w:jc w:val="both"/>
    </w:pPr>
    <w:rPr>
      <w:rFonts w:ascii="Univers" w:hAnsi="Univers"/>
      <w:szCs w:val="20"/>
    </w:rPr>
  </w:style>
  <w:style w:type="character" w:customStyle="1" w:styleId="FooterChar">
    <w:name w:val="Footer Char"/>
    <w:basedOn w:val="DefaultParagraphFont"/>
    <w:link w:val="Footer"/>
    <w:uiPriority w:val="99"/>
    <w:rsid w:val="00BF5250"/>
    <w:rPr>
      <w:sz w:val="24"/>
      <w:szCs w:val="24"/>
    </w:rPr>
  </w:style>
  <w:style w:type="paragraph" w:customStyle="1" w:styleId="Default">
    <w:name w:val="Default"/>
    <w:rsid w:val="007074C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D10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6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1298</Words>
  <Characters>6931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Letterhead - Template</vt:lpstr>
    </vt:vector>
  </TitlesOfParts>
  <Company>County of Napa</Company>
  <LinksUpToDate>false</LinksUpToDate>
  <CharactersWithSpaces>8213</CharactersWithSpaces>
  <SharedDoc>false</SharedDoc>
  <HLinks>
    <vt:vector size="6" baseType="variant">
      <vt:variant>
        <vt:i4>262248</vt:i4>
      </vt:variant>
      <vt:variant>
        <vt:i4>0</vt:i4>
      </vt:variant>
      <vt:variant>
        <vt:i4>0</vt:i4>
      </vt:variant>
      <vt:variant>
        <vt:i4>5</vt:i4>
      </vt:variant>
      <vt:variant>
        <vt:lpwstr>mailto:John.McDowell@countyofnapa.org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Template</dc:title>
  <dc:subject>Design Guidelines</dc:subject>
  <dc:creator>County of Napa</dc:creator>
  <cp:lastModifiedBy>Morrison, David</cp:lastModifiedBy>
  <cp:revision>2</cp:revision>
  <cp:lastPrinted>2015-05-15T23:31:00Z</cp:lastPrinted>
  <dcterms:created xsi:type="dcterms:W3CDTF">2015-08-21T16:58:00Z</dcterms:created>
  <dcterms:modified xsi:type="dcterms:W3CDTF">2015-08-21T16:58:00Z</dcterms:modified>
</cp:coreProperties>
</file>