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384" w:rsidRDefault="005F0384" w:rsidP="0083356B">
      <w:pPr>
        <w:rPr>
          <w:rFonts w:ascii="Palatino Linotype" w:hAnsi="Palatino Linotype"/>
          <w:sz w:val="22"/>
          <w:szCs w:val="22"/>
        </w:rPr>
      </w:pPr>
    </w:p>
    <w:p w:rsidR="003467F5" w:rsidRPr="00E5545D" w:rsidRDefault="003467F5" w:rsidP="00B0781D">
      <w:pPr>
        <w:rPr>
          <w:rFonts w:ascii="Palatino Linotype" w:hAnsi="Palatino Linotype"/>
          <w:b/>
          <w:spacing w:val="40"/>
          <w:sz w:val="28"/>
          <w:szCs w:val="28"/>
        </w:rPr>
      </w:pPr>
      <w:r w:rsidRPr="00E5545D">
        <w:rPr>
          <w:rFonts w:ascii="Palatino Linotype" w:hAnsi="Palatino Linotype"/>
          <w:b/>
          <w:spacing w:val="40"/>
          <w:sz w:val="28"/>
          <w:szCs w:val="28"/>
        </w:rPr>
        <w:t>MEMORANDUM</w:t>
      </w:r>
    </w:p>
    <w:p w:rsidR="003467F5" w:rsidRDefault="003467F5" w:rsidP="003467F5">
      <w:pPr>
        <w:rPr>
          <w:rFonts w:ascii="Palatino Linotype" w:hAnsi="Palatino Linotype"/>
          <w:sz w:val="22"/>
          <w:szCs w:val="22"/>
        </w:rPr>
      </w:pPr>
    </w:p>
    <w:tbl>
      <w:tblPr>
        <w:tblW w:w="9810" w:type="dxa"/>
        <w:tblInd w:w="108" w:type="dxa"/>
        <w:tblLayout w:type="fixed"/>
        <w:tblLook w:val="01E0" w:firstRow="1" w:lastRow="1" w:firstColumn="1" w:lastColumn="1" w:noHBand="0" w:noVBand="0"/>
      </w:tblPr>
      <w:tblGrid>
        <w:gridCol w:w="1080"/>
        <w:gridCol w:w="2430"/>
        <w:gridCol w:w="810"/>
        <w:gridCol w:w="5490"/>
      </w:tblGrid>
      <w:tr w:rsidR="003467F5" w:rsidRPr="002F648C" w:rsidTr="00B0781D">
        <w:tc>
          <w:tcPr>
            <w:tcW w:w="1080" w:type="dxa"/>
            <w:tcBorders>
              <w:top w:val="single" w:sz="4" w:space="0" w:color="auto"/>
              <w:left w:val="single" w:sz="4" w:space="0" w:color="auto"/>
              <w:bottom w:val="single" w:sz="4" w:space="0" w:color="auto"/>
            </w:tcBorders>
          </w:tcPr>
          <w:p w:rsidR="003467F5" w:rsidRPr="002F648C" w:rsidRDefault="003467F5" w:rsidP="00677CE5">
            <w:pPr>
              <w:rPr>
                <w:rFonts w:ascii="Palatino Linotype" w:hAnsi="Palatino Linotype"/>
                <w:sz w:val="22"/>
                <w:szCs w:val="22"/>
              </w:rPr>
            </w:pPr>
            <w:r w:rsidRPr="002F648C">
              <w:rPr>
                <w:rFonts w:ascii="Palatino Linotype" w:hAnsi="Palatino Linotype"/>
                <w:sz w:val="22"/>
                <w:szCs w:val="22"/>
              </w:rPr>
              <w:t>To:</w:t>
            </w:r>
          </w:p>
        </w:tc>
        <w:tc>
          <w:tcPr>
            <w:tcW w:w="2430" w:type="dxa"/>
            <w:tcBorders>
              <w:top w:val="single" w:sz="4" w:space="0" w:color="auto"/>
              <w:bottom w:val="single" w:sz="4" w:space="0" w:color="auto"/>
            </w:tcBorders>
          </w:tcPr>
          <w:p w:rsidR="003467F5" w:rsidRPr="002F648C" w:rsidRDefault="002F3BA5" w:rsidP="00F473C2">
            <w:pPr>
              <w:tabs>
                <w:tab w:val="left" w:pos="2034"/>
              </w:tabs>
              <w:rPr>
                <w:rFonts w:ascii="Palatino Linotype" w:hAnsi="Palatino Linotype"/>
                <w:sz w:val="22"/>
                <w:szCs w:val="22"/>
              </w:rPr>
            </w:pPr>
            <w:r>
              <w:rPr>
                <w:rFonts w:ascii="Palatino Linotype" w:hAnsi="Palatino Linotype"/>
                <w:sz w:val="22"/>
                <w:szCs w:val="22"/>
              </w:rPr>
              <w:t>Napa County</w:t>
            </w:r>
            <w:r w:rsidR="00954166">
              <w:rPr>
                <w:rFonts w:ascii="Palatino Linotype" w:hAnsi="Palatino Linotype"/>
                <w:sz w:val="22"/>
                <w:szCs w:val="22"/>
              </w:rPr>
              <w:t xml:space="preserve"> Planning </w:t>
            </w:r>
            <w:r w:rsidR="00F473C2">
              <w:rPr>
                <w:rFonts w:ascii="Palatino Linotype" w:hAnsi="Palatino Linotype"/>
                <w:sz w:val="22"/>
                <w:szCs w:val="22"/>
              </w:rPr>
              <w:t>C</w:t>
            </w:r>
            <w:r w:rsidR="00954166">
              <w:rPr>
                <w:rFonts w:ascii="Palatino Linotype" w:hAnsi="Palatino Linotype"/>
                <w:sz w:val="22"/>
                <w:szCs w:val="22"/>
              </w:rPr>
              <w:t xml:space="preserve">ommission </w:t>
            </w:r>
            <w:r>
              <w:rPr>
                <w:rFonts w:ascii="Palatino Linotype" w:hAnsi="Palatino Linotype"/>
                <w:sz w:val="22"/>
                <w:szCs w:val="22"/>
              </w:rPr>
              <w:t xml:space="preserve"> </w:t>
            </w:r>
          </w:p>
        </w:tc>
        <w:tc>
          <w:tcPr>
            <w:tcW w:w="810" w:type="dxa"/>
            <w:tcBorders>
              <w:top w:val="single" w:sz="4" w:space="0" w:color="auto"/>
              <w:bottom w:val="single" w:sz="4" w:space="0" w:color="auto"/>
            </w:tcBorders>
          </w:tcPr>
          <w:p w:rsidR="003467F5" w:rsidRPr="002F648C" w:rsidRDefault="003467F5" w:rsidP="00F41568">
            <w:pPr>
              <w:rPr>
                <w:rFonts w:ascii="Palatino Linotype" w:hAnsi="Palatino Linotype"/>
                <w:sz w:val="22"/>
                <w:szCs w:val="22"/>
              </w:rPr>
            </w:pPr>
            <w:r w:rsidRPr="002F648C">
              <w:rPr>
                <w:rFonts w:ascii="Palatino Linotype" w:hAnsi="Palatino Linotype"/>
                <w:sz w:val="22"/>
                <w:szCs w:val="22"/>
              </w:rPr>
              <w:t>From:</w:t>
            </w:r>
          </w:p>
        </w:tc>
        <w:tc>
          <w:tcPr>
            <w:tcW w:w="5490" w:type="dxa"/>
            <w:tcBorders>
              <w:top w:val="single" w:sz="4" w:space="0" w:color="auto"/>
              <w:bottom w:val="single" w:sz="4" w:space="0" w:color="auto"/>
              <w:right w:val="single" w:sz="4" w:space="0" w:color="auto"/>
            </w:tcBorders>
          </w:tcPr>
          <w:p w:rsidR="00B0781D" w:rsidRDefault="00954166" w:rsidP="00677CE5">
            <w:pPr>
              <w:rPr>
                <w:rFonts w:ascii="Palatino Linotype" w:hAnsi="Palatino Linotype"/>
                <w:sz w:val="22"/>
                <w:szCs w:val="22"/>
              </w:rPr>
            </w:pPr>
            <w:r>
              <w:rPr>
                <w:rFonts w:ascii="Palatino Linotype" w:hAnsi="Palatino Linotype"/>
                <w:sz w:val="22"/>
                <w:szCs w:val="22"/>
              </w:rPr>
              <w:t>David Morrison,</w:t>
            </w:r>
            <w:r w:rsidR="00F473C2">
              <w:rPr>
                <w:rFonts w:ascii="Palatino Linotype" w:hAnsi="Palatino Linotype"/>
                <w:sz w:val="22"/>
                <w:szCs w:val="22"/>
              </w:rPr>
              <w:t xml:space="preserve"> </w:t>
            </w:r>
          </w:p>
          <w:p w:rsidR="003467F5" w:rsidRPr="002F648C" w:rsidRDefault="00F473C2" w:rsidP="00677CE5">
            <w:pPr>
              <w:rPr>
                <w:rFonts w:ascii="Palatino Linotype" w:hAnsi="Palatino Linotype"/>
                <w:sz w:val="22"/>
                <w:szCs w:val="22"/>
              </w:rPr>
            </w:pPr>
            <w:r>
              <w:rPr>
                <w:rFonts w:ascii="Palatino Linotype" w:hAnsi="Palatino Linotype"/>
                <w:sz w:val="22"/>
                <w:szCs w:val="22"/>
              </w:rPr>
              <w:t>Director</w:t>
            </w:r>
          </w:p>
        </w:tc>
      </w:tr>
      <w:tr w:rsidR="003467F5" w:rsidRPr="002F648C" w:rsidTr="00B0781D">
        <w:trPr>
          <w:trHeight w:hRule="exact" w:val="144"/>
        </w:trPr>
        <w:tc>
          <w:tcPr>
            <w:tcW w:w="1080" w:type="dxa"/>
            <w:tcBorders>
              <w:top w:val="single" w:sz="4" w:space="0" w:color="auto"/>
              <w:bottom w:val="single" w:sz="4" w:space="0" w:color="auto"/>
            </w:tcBorders>
          </w:tcPr>
          <w:p w:rsidR="003467F5" w:rsidRPr="002F648C" w:rsidRDefault="003467F5" w:rsidP="00677CE5">
            <w:pPr>
              <w:rPr>
                <w:rFonts w:ascii="Palatino Linotype" w:hAnsi="Palatino Linotype"/>
                <w:sz w:val="22"/>
                <w:szCs w:val="22"/>
              </w:rPr>
            </w:pPr>
          </w:p>
        </w:tc>
        <w:tc>
          <w:tcPr>
            <w:tcW w:w="2430" w:type="dxa"/>
            <w:tcBorders>
              <w:top w:val="single" w:sz="4" w:space="0" w:color="auto"/>
              <w:bottom w:val="single" w:sz="4" w:space="0" w:color="auto"/>
            </w:tcBorders>
          </w:tcPr>
          <w:p w:rsidR="003467F5" w:rsidRPr="002F648C" w:rsidRDefault="003467F5" w:rsidP="00677CE5">
            <w:pPr>
              <w:rPr>
                <w:rFonts w:ascii="Palatino Linotype" w:hAnsi="Palatino Linotype"/>
                <w:sz w:val="22"/>
                <w:szCs w:val="22"/>
              </w:rPr>
            </w:pPr>
          </w:p>
        </w:tc>
        <w:tc>
          <w:tcPr>
            <w:tcW w:w="810" w:type="dxa"/>
            <w:tcBorders>
              <w:top w:val="single" w:sz="4" w:space="0" w:color="auto"/>
              <w:bottom w:val="single" w:sz="4" w:space="0" w:color="auto"/>
            </w:tcBorders>
          </w:tcPr>
          <w:p w:rsidR="003467F5" w:rsidRPr="002F648C" w:rsidRDefault="003467F5" w:rsidP="00677CE5">
            <w:pPr>
              <w:rPr>
                <w:rFonts w:ascii="Palatino Linotype" w:hAnsi="Palatino Linotype"/>
                <w:sz w:val="22"/>
                <w:szCs w:val="22"/>
              </w:rPr>
            </w:pPr>
          </w:p>
        </w:tc>
        <w:tc>
          <w:tcPr>
            <w:tcW w:w="5490" w:type="dxa"/>
            <w:tcBorders>
              <w:top w:val="single" w:sz="4" w:space="0" w:color="auto"/>
              <w:bottom w:val="single" w:sz="4" w:space="0" w:color="auto"/>
            </w:tcBorders>
          </w:tcPr>
          <w:p w:rsidR="003467F5" w:rsidRPr="002F648C" w:rsidRDefault="003467F5" w:rsidP="00677CE5">
            <w:pPr>
              <w:rPr>
                <w:rFonts w:ascii="Palatino Linotype" w:hAnsi="Palatino Linotype"/>
                <w:sz w:val="22"/>
                <w:szCs w:val="22"/>
              </w:rPr>
            </w:pPr>
          </w:p>
        </w:tc>
      </w:tr>
      <w:tr w:rsidR="003467F5" w:rsidRPr="002F648C" w:rsidTr="00B0781D">
        <w:tc>
          <w:tcPr>
            <w:tcW w:w="1080" w:type="dxa"/>
            <w:tcBorders>
              <w:top w:val="single" w:sz="4" w:space="0" w:color="auto"/>
              <w:left w:val="single" w:sz="4" w:space="0" w:color="auto"/>
              <w:bottom w:val="single" w:sz="4" w:space="0" w:color="auto"/>
            </w:tcBorders>
          </w:tcPr>
          <w:p w:rsidR="003467F5" w:rsidRPr="002F648C" w:rsidRDefault="003467F5" w:rsidP="00677CE5">
            <w:pPr>
              <w:rPr>
                <w:rFonts w:ascii="Palatino Linotype" w:hAnsi="Palatino Linotype"/>
                <w:sz w:val="22"/>
                <w:szCs w:val="22"/>
              </w:rPr>
            </w:pPr>
            <w:r w:rsidRPr="002F648C">
              <w:rPr>
                <w:rFonts w:ascii="Palatino Linotype" w:hAnsi="Palatino Linotype"/>
                <w:sz w:val="22"/>
                <w:szCs w:val="22"/>
              </w:rPr>
              <w:t>Date:</w:t>
            </w:r>
          </w:p>
        </w:tc>
        <w:tc>
          <w:tcPr>
            <w:tcW w:w="2430" w:type="dxa"/>
            <w:tcBorders>
              <w:top w:val="single" w:sz="4" w:space="0" w:color="auto"/>
              <w:bottom w:val="single" w:sz="4" w:space="0" w:color="auto"/>
            </w:tcBorders>
          </w:tcPr>
          <w:p w:rsidR="003467F5" w:rsidRPr="002F648C" w:rsidRDefault="000E2CBB" w:rsidP="00B0781D">
            <w:pPr>
              <w:rPr>
                <w:rFonts w:ascii="Palatino Linotype" w:hAnsi="Palatino Linotype"/>
                <w:sz w:val="22"/>
                <w:szCs w:val="22"/>
              </w:rPr>
            </w:pPr>
            <w:r>
              <w:rPr>
                <w:rFonts w:ascii="Palatino Linotype" w:hAnsi="Palatino Linotype"/>
                <w:sz w:val="22"/>
                <w:szCs w:val="22"/>
              </w:rPr>
              <w:t>November 4, 2015</w:t>
            </w:r>
          </w:p>
        </w:tc>
        <w:tc>
          <w:tcPr>
            <w:tcW w:w="810" w:type="dxa"/>
            <w:tcBorders>
              <w:top w:val="single" w:sz="4" w:space="0" w:color="auto"/>
              <w:bottom w:val="single" w:sz="4" w:space="0" w:color="auto"/>
            </w:tcBorders>
          </w:tcPr>
          <w:p w:rsidR="003467F5" w:rsidRPr="002F648C" w:rsidRDefault="003467F5" w:rsidP="00677CE5">
            <w:pPr>
              <w:rPr>
                <w:rFonts w:ascii="Palatino Linotype" w:hAnsi="Palatino Linotype"/>
                <w:sz w:val="22"/>
                <w:szCs w:val="22"/>
              </w:rPr>
            </w:pPr>
            <w:r w:rsidRPr="002F648C">
              <w:rPr>
                <w:rFonts w:ascii="Palatino Linotype" w:hAnsi="Palatino Linotype"/>
                <w:sz w:val="22"/>
                <w:szCs w:val="22"/>
              </w:rPr>
              <w:t>Re:</w:t>
            </w:r>
          </w:p>
        </w:tc>
        <w:tc>
          <w:tcPr>
            <w:tcW w:w="5490" w:type="dxa"/>
            <w:tcBorders>
              <w:top w:val="single" w:sz="4" w:space="0" w:color="auto"/>
              <w:bottom w:val="single" w:sz="4" w:space="0" w:color="auto"/>
              <w:right w:val="single" w:sz="4" w:space="0" w:color="auto"/>
            </w:tcBorders>
          </w:tcPr>
          <w:p w:rsidR="00B0781D" w:rsidRDefault="000E2CBB" w:rsidP="007D7BFA">
            <w:pPr>
              <w:rPr>
                <w:rFonts w:ascii="Palatino Linotype" w:hAnsi="Palatino Linotype"/>
                <w:sz w:val="22"/>
                <w:szCs w:val="22"/>
              </w:rPr>
            </w:pPr>
            <w:r>
              <w:rPr>
                <w:rFonts w:ascii="Palatino Linotype" w:hAnsi="Palatino Linotype"/>
                <w:sz w:val="22"/>
                <w:szCs w:val="22"/>
              </w:rPr>
              <w:t>Final APAC Recommendations</w:t>
            </w:r>
          </w:p>
          <w:p w:rsidR="000E2CBB" w:rsidRPr="002F648C" w:rsidRDefault="00ED5617" w:rsidP="007D7BFA">
            <w:pPr>
              <w:rPr>
                <w:rFonts w:ascii="Palatino Linotype" w:hAnsi="Palatino Linotype"/>
                <w:sz w:val="22"/>
                <w:szCs w:val="22"/>
              </w:rPr>
            </w:pPr>
            <w:r>
              <w:rPr>
                <w:rFonts w:ascii="Palatino Linotype" w:hAnsi="Palatino Linotype"/>
                <w:sz w:val="22"/>
                <w:szCs w:val="22"/>
              </w:rPr>
              <w:t>Supplemental Memo</w:t>
            </w:r>
          </w:p>
        </w:tc>
      </w:tr>
    </w:tbl>
    <w:p w:rsidR="003467F5" w:rsidRDefault="003467F5" w:rsidP="003467F5">
      <w:pPr>
        <w:rPr>
          <w:rFonts w:ascii="Palatino Linotype" w:hAnsi="Palatino Linotype"/>
          <w:sz w:val="22"/>
          <w:szCs w:val="22"/>
        </w:rPr>
      </w:pPr>
    </w:p>
    <w:p w:rsidR="000E2CBB" w:rsidRPr="000E2CBB" w:rsidRDefault="000E2CBB" w:rsidP="00B0781D">
      <w:pPr>
        <w:tabs>
          <w:tab w:val="left" w:pos="450"/>
        </w:tabs>
        <w:rPr>
          <w:rFonts w:ascii="Palatino Linotype" w:hAnsi="Palatino Linotype" w:cs="Arial"/>
          <w:b/>
          <w:sz w:val="22"/>
          <w:szCs w:val="22"/>
          <w:u w:val="single"/>
        </w:rPr>
      </w:pPr>
      <w:r w:rsidRPr="000E2CBB">
        <w:rPr>
          <w:rFonts w:ascii="Palatino Linotype" w:hAnsi="Palatino Linotype" w:cs="Arial"/>
          <w:b/>
          <w:sz w:val="22"/>
          <w:szCs w:val="22"/>
          <w:u w:val="single"/>
        </w:rPr>
        <w:t>Temporary Events</w:t>
      </w:r>
    </w:p>
    <w:p w:rsidR="000E2CBB" w:rsidRDefault="000E2CBB" w:rsidP="00B0781D">
      <w:pPr>
        <w:tabs>
          <w:tab w:val="left" w:pos="450"/>
        </w:tabs>
        <w:rPr>
          <w:rFonts w:ascii="Palatino Linotype" w:hAnsi="Palatino Linotype" w:cs="Arial"/>
          <w:sz w:val="22"/>
          <w:szCs w:val="22"/>
        </w:rPr>
      </w:pPr>
    </w:p>
    <w:p w:rsidR="00E71375" w:rsidRDefault="00D518DC" w:rsidP="00B0781D">
      <w:pPr>
        <w:tabs>
          <w:tab w:val="left" w:pos="450"/>
        </w:tabs>
        <w:rPr>
          <w:rFonts w:ascii="Palatino Linotype" w:hAnsi="Palatino Linotype" w:cs="Arial"/>
          <w:sz w:val="22"/>
          <w:szCs w:val="22"/>
        </w:rPr>
      </w:pPr>
      <w:r>
        <w:rPr>
          <w:rFonts w:ascii="Palatino Linotype" w:hAnsi="Palatino Linotype" w:cs="Arial"/>
          <w:sz w:val="22"/>
          <w:szCs w:val="22"/>
        </w:rPr>
        <w:t xml:space="preserve">The number of approved temporary events in Napa County has declined from its peak 0f 133 events in 2009, to 75 in 2014.  </w:t>
      </w:r>
      <w:r w:rsidR="00E71375">
        <w:rPr>
          <w:rFonts w:ascii="Palatino Linotype" w:hAnsi="Palatino Linotype" w:cs="Arial"/>
          <w:sz w:val="22"/>
          <w:szCs w:val="22"/>
        </w:rPr>
        <w:t>In general, the chart below shows the clear impact of the Great Recession beginning in 2008 and continuing to today.  Recently, the number of annual temporary events ha</w:t>
      </w:r>
      <w:r w:rsidR="00FD50EB">
        <w:rPr>
          <w:rFonts w:ascii="Palatino Linotype" w:hAnsi="Palatino Linotype" w:cs="Arial"/>
          <w:sz w:val="22"/>
          <w:szCs w:val="22"/>
        </w:rPr>
        <w:t>s</w:t>
      </w:r>
      <w:r w:rsidR="00E71375">
        <w:rPr>
          <w:rFonts w:ascii="Palatino Linotype" w:hAnsi="Palatino Linotype" w:cs="Arial"/>
          <w:sz w:val="22"/>
          <w:szCs w:val="22"/>
        </w:rPr>
        <w:t xml:space="preserve"> dropped to levels not seen since 2002.  </w:t>
      </w:r>
    </w:p>
    <w:p w:rsidR="00E71375" w:rsidRDefault="00E71375" w:rsidP="00B0781D">
      <w:pPr>
        <w:tabs>
          <w:tab w:val="left" w:pos="450"/>
        </w:tabs>
        <w:rPr>
          <w:rFonts w:ascii="Palatino Linotype" w:hAnsi="Palatino Linotype" w:cs="Arial"/>
          <w:sz w:val="22"/>
          <w:szCs w:val="22"/>
        </w:rPr>
      </w:pPr>
    </w:p>
    <w:p w:rsidR="00D518DC" w:rsidRDefault="008810B8" w:rsidP="00B0781D">
      <w:pPr>
        <w:tabs>
          <w:tab w:val="left" w:pos="450"/>
        </w:tabs>
        <w:rPr>
          <w:rFonts w:ascii="Palatino Linotype" w:hAnsi="Palatino Linotype" w:cs="Arial"/>
          <w:sz w:val="22"/>
          <w:szCs w:val="22"/>
        </w:rPr>
      </w:pPr>
      <w:r>
        <w:rPr>
          <w:rFonts w:ascii="Palatino Linotype" w:hAnsi="Palatino Linotype" w:cs="Arial"/>
          <w:sz w:val="22"/>
          <w:szCs w:val="22"/>
        </w:rPr>
        <w:t xml:space="preserve">For 2015, the number of events was 55 on June 1rst.  Annualized out, 2015 is on track to reach 132 events this year, although temporary events are generally seasonal.  The bulk of temporary events are filed between the last weekend in February and the first weekend in November.  </w:t>
      </w:r>
    </w:p>
    <w:p w:rsidR="00D518DC" w:rsidRDefault="00D518DC" w:rsidP="00B0781D">
      <w:pPr>
        <w:tabs>
          <w:tab w:val="left" w:pos="450"/>
        </w:tabs>
        <w:rPr>
          <w:rFonts w:ascii="Palatino Linotype" w:hAnsi="Palatino Linotype" w:cs="Arial"/>
          <w:sz w:val="22"/>
          <w:szCs w:val="22"/>
        </w:rPr>
      </w:pPr>
    </w:p>
    <w:p w:rsidR="000E2CBB" w:rsidRDefault="00D518DC" w:rsidP="00B0781D">
      <w:pPr>
        <w:tabs>
          <w:tab w:val="left" w:pos="450"/>
        </w:tabs>
        <w:rPr>
          <w:rFonts w:ascii="Palatino Linotype" w:hAnsi="Palatino Linotype" w:cs="Arial"/>
          <w:sz w:val="22"/>
          <w:szCs w:val="22"/>
        </w:rPr>
      </w:pPr>
      <w:r w:rsidRPr="00ED5617">
        <w:rPr>
          <w:rFonts w:ascii="Palatino Linotype" w:hAnsi="Palatino Linotype" w:cs="Arial"/>
          <w:noProof/>
          <w:sz w:val="22"/>
          <w:szCs w:val="22"/>
          <w:bdr w:val="single" w:sz="4" w:space="0" w:color="auto"/>
        </w:rPr>
        <w:drawing>
          <wp:inline distT="0" distB="0" distL="0" distR="0" wp14:anchorId="3F596CB8" wp14:editId="64AC9B6B">
            <wp:extent cx="4442460" cy="2674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2460" cy="2674620"/>
                    </a:xfrm>
                    <a:prstGeom prst="rect">
                      <a:avLst/>
                    </a:prstGeom>
                    <a:noFill/>
                    <a:ln>
                      <a:noFill/>
                    </a:ln>
                  </pic:spPr>
                </pic:pic>
              </a:graphicData>
            </a:graphic>
          </wp:inline>
        </w:drawing>
      </w:r>
    </w:p>
    <w:p w:rsidR="000E2CBB" w:rsidRDefault="000E2CBB" w:rsidP="00B0781D">
      <w:pPr>
        <w:tabs>
          <w:tab w:val="left" w:pos="450"/>
        </w:tabs>
        <w:rPr>
          <w:rFonts w:ascii="Palatino Linotype" w:hAnsi="Palatino Linotype" w:cs="Arial"/>
          <w:sz w:val="22"/>
          <w:szCs w:val="22"/>
        </w:rPr>
      </w:pPr>
    </w:p>
    <w:p w:rsidR="00E71375" w:rsidRDefault="00E71375" w:rsidP="00B0781D">
      <w:pPr>
        <w:tabs>
          <w:tab w:val="left" w:pos="450"/>
        </w:tabs>
        <w:rPr>
          <w:rFonts w:ascii="Palatino Linotype" w:hAnsi="Palatino Linotype" w:cs="Arial"/>
          <w:sz w:val="22"/>
          <w:szCs w:val="22"/>
        </w:rPr>
      </w:pPr>
      <w:r>
        <w:rPr>
          <w:rFonts w:ascii="Palatino Linotype" w:hAnsi="Palatino Linotype" w:cs="Arial"/>
          <w:sz w:val="22"/>
          <w:szCs w:val="22"/>
        </w:rPr>
        <w:t xml:space="preserve">Unfortunately, many of the older records for temporary events do not list the number of people attending.  We do have entries for over 460 temporary events, nearly all of them approved in recent years.  Of those with attendees listed, 56 percent of the events have fewer than 200 guests.  Another 35 percent had between 200 and 400 guests.  The remaining 9 percent had more than 400 attendees.  A total of 5 events had more than 2,000 guests each.  </w:t>
      </w:r>
    </w:p>
    <w:p w:rsidR="00F745DF" w:rsidRDefault="00F745DF" w:rsidP="00B0781D">
      <w:pPr>
        <w:tabs>
          <w:tab w:val="left" w:pos="450"/>
        </w:tabs>
        <w:rPr>
          <w:rFonts w:ascii="Palatino Linotype" w:hAnsi="Palatino Linotype" w:cs="Arial"/>
          <w:sz w:val="22"/>
          <w:szCs w:val="22"/>
        </w:rPr>
      </w:pPr>
    </w:p>
    <w:p w:rsidR="00F745DF" w:rsidRDefault="00A07B60" w:rsidP="00B0781D">
      <w:pPr>
        <w:tabs>
          <w:tab w:val="left" w:pos="450"/>
        </w:tabs>
        <w:rPr>
          <w:rFonts w:ascii="Palatino Linotype" w:hAnsi="Palatino Linotype" w:cs="Arial"/>
          <w:sz w:val="22"/>
          <w:szCs w:val="22"/>
        </w:rPr>
      </w:pPr>
      <w:r>
        <w:rPr>
          <w:rFonts w:ascii="Palatino Linotype" w:hAnsi="Palatino Linotype" w:cs="Arial"/>
          <w:sz w:val="22"/>
          <w:szCs w:val="22"/>
        </w:rPr>
        <w:t>Over the past 20 years, the venues with the most temporary event permits are as follows:</w:t>
      </w:r>
    </w:p>
    <w:p w:rsidR="00A07B60" w:rsidRDefault="00A07B60" w:rsidP="00B0781D">
      <w:pPr>
        <w:tabs>
          <w:tab w:val="left" w:pos="450"/>
        </w:tabs>
        <w:rPr>
          <w:rFonts w:ascii="Palatino Linotype" w:hAnsi="Palatino Linotype" w:cs="Arial"/>
          <w:sz w:val="22"/>
          <w:szCs w:val="22"/>
        </w:rPr>
      </w:pPr>
    </w:p>
    <w:tbl>
      <w:tblPr>
        <w:tblStyle w:val="TableGrid"/>
        <w:tblW w:w="0" w:type="auto"/>
        <w:tblInd w:w="108" w:type="dxa"/>
        <w:tblLook w:val="04A0" w:firstRow="1" w:lastRow="0" w:firstColumn="1" w:lastColumn="0" w:noHBand="0" w:noVBand="1"/>
      </w:tblPr>
      <w:tblGrid>
        <w:gridCol w:w="2160"/>
        <w:gridCol w:w="1890"/>
      </w:tblGrid>
      <w:tr w:rsidR="00A07B60" w:rsidTr="00ED5617">
        <w:tc>
          <w:tcPr>
            <w:tcW w:w="2160" w:type="dxa"/>
            <w:shd w:val="clear" w:color="auto" w:fill="F2F2F2" w:themeFill="background1" w:themeFillShade="F2"/>
          </w:tcPr>
          <w:p w:rsidR="00A07B60" w:rsidRPr="00FD50EB" w:rsidRDefault="00A07B60" w:rsidP="00FD50EB">
            <w:pPr>
              <w:tabs>
                <w:tab w:val="left" w:pos="450"/>
              </w:tabs>
              <w:jc w:val="center"/>
              <w:rPr>
                <w:rFonts w:ascii="Palatino Linotype" w:hAnsi="Palatino Linotype" w:cs="Arial"/>
                <w:b/>
                <w:sz w:val="22"/>
                <w:szCs w:val="22"/>
              </w:rPr>
            </w:pPr>
            <w:r w:rsidRPr="00FD50EB">
              <w:rPr>
                <w:rFonts w:ascii="Palatino Linotype" w:hAnsi="Palatino Linotype" w:cs="Arial"/>
                <w:b/>
                <w:sz w:val="22"/>
                <w:szCs w:val="22"/>
              </w:rPr>
              <w:t>Location</w:t>
            </w:r>
          </w:p>
        </w:tc>
        <w:tc>
          <w:tcPr>
            <w:tcW w:w="1890" w:type="dxa"/>
            <w:shd w:val="clear" w:color="auto" w:fill="F2F2F2" w:themeFill="background1" w:themeFillShade="F2"/>
          </w:tcPr>
          <w:p w:rsidR="00A07B60" w:rsidRPr="00FD50EB" w:rsidRDefault="00A07B60" w:rsidP="00FD50EB">
            <w:pPr>
              <w:tabs>
                <w:tab w:val="left" w:pos="450"/>
              </w:tabs>
              <w:jc w:val="center"/>
              <w:rPr>
                <w:rFonts w:ascii="Palatino Linotype" w:hAnsi="Palatino Linotype" w:cs="Arial"/>
                <w:b/>
                <w:sz w:val="22"/>
                <w:szCs w:val="22"/>
              </w:rPr>
            </w:pPr>
            <w:r w:rsidRPr="00FD50EB">
              <w:rPr>
                <w:rFonts w:ascii="Palatino Linotype" w:hAnsi="Palatino Linotype" w:cs="Arial"/>
                <w:b/>
                <w:sz w:val="22"/>
                <w:szCs w:val="22"/>
              </w:rPr>
              <w:t>Total Number of Event Permits</w:t>
            </w:r>
          </w:p>
        </w:tc>
      </w:tr>
      <w:tr w:rsidR="00A07B60" w:rsidTr="00ED5617">
        <w:tc>
          <w:tcPr>
            <w:tcW w:w="2160" w:type="dxa"/>
          </w:tcPr>
          <w:p w:rsidR="00A07B60" w:rsidRDefault="00A07B60" w:rsidP="00B0781D">
            <w:pPr>
              <w:tabs>
                <w:tab w:val="left" w:pos="450"/>
              </w:tabs>
              <w:rPr>
                <w:rFonts w:ascii="Palatino Linotype" w:hAnsi="Palatino Linotype" w:cs="Arial"/>
                <w:sz w:val="22"/>
                <w:szCs w:val="22"/>
              </w:rPr>
            </w:pPr>
            <w:r>
              <w:rPr>
                <w:rFonts w:ascii="Palatino Linotype" w:hAnsi="Palatino Linotype" w:cs="Arial"/>
                <w:sz w:val="22"/>
                <w:szCs w:val="22"/>
              </w:rPr>
              <w:t xml:space="preserve">Castillo di </w:t>
            </w:r>
            <w:proofErr w:type="spellStart"/>
            <w:r>
              <w:rPr>
                <w:rFonts w:ascii="Palatino Linotype" w:hAnsi="Palatino Linotype" w:cs="Arial"/>
                <w:sz w:val="22"/>
                <w:szCs w:val="22"/>
              </w:rPr>
              <w:t>Amarosa</w:t>
            </w:r>
            <w:proofErr w:type="spellEnd"/>
          </w:p>
        </w:tc>
        <w:tc>
          <w:tcPr>
            <w:tcW w:w="1890" w:type="dxa"/>
          </w:tcPr>
          <w:p w:rsidR="00A07B60" w:rsidRDefault="00B530EA" w:rsidP="00ED5617">
            <w:pPr>
              <w:tabs>
                <w:tab w:val="left" w:pos="450"/>
              </w:tabs>
              <w:jc w:val="center"/>
              <w:rPr>
                <w:rFonts w:ascii="Palatino Linotype" w:hAnsi="Palatino Linotype" w:cs="Arial"/>
                <w:sz w:val="22"/>
                <w:szCs w:val="22"/>
              </w:rPr>
            </w:pPr>
            <w:r>
              <w:rPr>
                <w:rFonts w:ascii="Palatino Linotype" w:hAnsi="Palatino Linotype" w:cs="Arial"/>
                <w:sz w:val="22"/>
                <w:szCs w:val="22"/>
              </w:rPr>
              <w:t>41</w:t>
            </w:r>
          </w:p>
        </w:tc>
      </w:tr>
      <w:tr w:rsidR="00A07B60" w:rsidTr="00ED5617">
        <w:tc>
          <w:tcPr>
            <w:tcW w:w="2160" w:type="dxa"/>
          </w:tcPr>
          <w:p w:rsidR="00A07B60" w:rsidRDefault="00A07B60" w:rsidP="00B0781D">
            <w:pPr>
              <w:tabs>
                <w:tab w:val="left" w:pos="450"/>
              </w:tabs>
              <w:rPr>
                <w:rFonts w:ascii="Palatino Linotype" w:hAnsi="Palatino Linotype" w:cs="Arial"/>
                <w:sz w:val="22"/>
                <w:szCs w:val="22"/>
              </w:rPr>
            </w:pPr>
            <w:r>
              <w:rPr>
                <w:rFonts w:ascii="Palatino Linotype" w:hAnsi="Palatino Linotype" w:cs="Arial"/>
                <w:sz w:val="22"/>
                <w:szCs w:val="22"/>
              </w:rPr>
              <w:t xml:space="preserve">St. </w:t>
            </w:r>
            <w:proofErr w:type="spellStart"/>
            <w:r>
              <w:rPr>
                <w:rFonts w:ascii="Palatino Linotype" w:hAnsi="Palatino Linotype" w:cs="Arial"/>
                <w:sz w:val="22"/>
                <w:szCs w:val="22"/>
              </w:rPr>
              <w:t>Supery</w:t>
            </w:r>
            <w:proofErr w:type="spellEnd"/>
            <w:r>
              <w:rPr>
                <w:rFonts w:ascii="Palatino Linotype" w:hAnsi="Palatino Linotype" w:cs="Arial"/>
                <w:sz w:val="22"/>
                <w:szCs w:val="22"/>
              </w:rPr>
              <w:t xml:space="preserve"> </w:t>
            </w:r>
          </w:p>
        </w:tc>
        <w:tc>
          <w:tcPr>
            <w:tcW w:w="1890" w:type="dxa"/>
          </w:tcPr>
          <w:p w:rsidR="00A07B60" w:rsidRDefault="00B530EA" w:rsidP="00ED5617">
            <w:pPr>
              <w:tabs>
                <w:tab w:val="left" w:pos="450"/>
              </w:tabs>
              <w:jc w:val="center"/>
              <w:rPr>
                <w:rFonts w:ascii="Palatino Linotype" w:hAnsi="Palatino Linotype" w:cs="Arial"/>
                <w:sz w:val="22"/>
                <w:szCs w:val="22"/>
              </w:rPr>
            </w:pPr>
            <w:r>
              <w:rPr>
                <w:rFonts w:ascii="Palatino Linotype" w:hAnsi="Palatino Linotype" w:cs="Arial"/>
                <w:sz w:val="22"/>
                <w:szCs w:val="22"/>
              </w:rPr>
              <w:t>35</w:t>
            </w:r>
          </w:p>
        </w:tc>
      </w:tr>
      <w:tr w:rsidR="00A07B60" w:rsidTr="00ED5617">
        <w:tc>
          <w:tcPr>
            <w:tcW w:w="2160" w:type="dxa"/>
          </w:tcPr>
          <w:p w:rsidR="00A07B60" w:rsidRDefault="00A07B60" w:rsidP="00B0781D">
            <w:pPr>
              <w:tabs>
                <w:tab w:val="left" w:pos="450"/>
              </w:tabs>
              <w:rPr>
                <w:rFonts w:ascii="Palatino Linotype" w:hAnsi="Palatino Linotype" w:cs="Arial"/>
                <w:sz w:val="22"/>
                <w:szCs w:val="22"/>
              </w:rPr>
            </w:pPr>
            <w:r>
              <w:rPr>
                <w:rFonts w:ascii="Palatino Linotype" w:hAnsi="Palatino Linotype" w:cs="Arial"/>
                <w:sz w:val="22"/>
                <w:szCs w:val="22"/>
              </w:rPr>
              <w:t>Rubicon</w:t>
            </w:r>
          </w:p>
        </w:tc>
        <w:tc>
          <w:tcPr>
            <w:tcW w:w="1890" w:type="dxa"/>
          </w:tcPr>
          <w:p w:rsidR="00A07B60" w:rsidRDefault="00B530EA" w:rsidP="00ED5617">
            <w:pPr>
              <w:tabs>
                <w:tab w:val="left" w:pos="450"/>
              </w:tabs>
              <w:jc w:val="center"/>
              <w:rPr>
                <w:rFonts w:ascii="Palatino Linotype" w:hAnsi="Palatino Linotype" w:cs="Arial"/>
                <w:sz w:val="22"/>
                <w:szCs w:val="22"/>
              </w:rPr>
            </w:pPr>
            <w:r>
              <w:rPr>
                <w:rFonts w:ascii="Palatino Linotype" w:hAnsi="Palatino Linotype" w:cs="Arial"/>
                <w:sz w:val="22"/>
                <w:szCs w:val="22"/>
              </w:rPr>
              <w:t>29</w:t>
            </w:r>
          </w:p>
        </w:tc>
      </w:tr>
      <w:tr w:rsidR="00A07B60" w:rsidTr="00ED5617">
        <w:tc>
          <w:tcPr>
            <w:tcW w:w="2160" w:type="dxa"/>
          </w:tcPr>
          <w:p w:rsidR="00A07B60" w:rsidRDefault="00B530EA" w:rsidP="00B0781D">
            <w:pPr>
              <w:tabs>
                <w:tab w:val="left" w:pos="450"/>
              </w:tabs>
              <w:rPr>
                <w:rFonts w:ascii="Palatino Linotype" w:hAnsi="Palatino Linotype" w:cs="Arial"/>
                <w:sz w:val="22"/>
                <w:szCs w:val="22"/>
              </w:rPr>
            </w:pPr>
            <w:r>
              <w:rPr>
                <w:rFonts w:ascii="Palatino Linotype" w:hAnsi="Palatino Linotype" w:cs="Arial"/>
                <w:sz w:val="22"/>
                <w:szCs w:val="22"/>
              </w:rPr>
              <w:t>Inglenook</w:t>
            </w:r>
          </w:p>
        </w:tc>
        <w:tc>
          <w:tcPr>
            <w:tcW w:w="1890" w:type="dxa"/>
          </w:tcPr>
          <w:p w:rsidR="00A07B60" w:rsidRDefault="00B530EA" w:rsidP="00ED5617">
            <w:pPr>
              <w:tabs>
                <w:tab w:val="left" w:pos="450"/>
              </w:tabs>
              <w:jc w:val="center"/>
              <w:rPr>
                <w:rFonts w:ascii="Palatino Linotype" w:hAnsi="Palatino Linotype" w:cs="Arial"/>
                <w:sz w:val="22"/>
                <w:szCs w:val="22"/>
              </w:rPr>
            </w:pPr>
            <w:r>
              <w:rPr>
                <w:rFonts w:ascii="Palatino Linotype" w:hAnsi="Palatino Linotype" w:cs="Arial"/>
                <w:sz w:val="22"/>
                <w:szCs w:val="22"/>
              </w:rPr>
              <w:t>29</w:t>
            </w:r>
          </w:p>
        </w:tc>
      </w:tr>
      <w:tr w:rsidR="00A07B60" w:rsidTr="00ED5617">
        <w:tc>
          <w:tcPr>
            <w:tcW w:w="2160" w:type="dxa"/>
          </w:tcPr>
          <w:p w:rsidR="00A07B60" w:rsidRDefault="00B530EA" w:rsidP="00B0781D">
            <w:pPr>
              <w:tabs>
                <w:tab w:val="left" w:pos="450"/>
              </w:tabs>
              <w:rPr>
                <w:rFonts w:ascii="Palatino Linotype" w:hAnsi="Palatino Linotype" w:cs="Arial"/>
                <w:sz w:val="22"/>
                <w:szCs w:val="22"/>
              </w:rPr>
            </w:pPr>
            <w:r>
              <w:rPr>
                <w:rFonts w:ascii="Palatino Linotype" w:hAnsi="Palatino Linotype" w:cs="Arial"/>
                <w:sz w:val="22"/>
                <w:szCs w:val="22"/>
              </w:rPr>
              <w:t>Silverado</w:t>
            </w:r>
          </w:p>
        </w:tc>
        <w:tc>
          <w:tcPr>
            <w:tcW w:w="1890" w:type="dxa"/>
          </w:tcPr>
          <w:p w:rsidR="00A07B60" w:rsidRDefault="00B530EA" w:rsidP="00ED5617">
            <w:pPr>
              <w:tabs>
                <w:tab w:val="left" w:pos="450"/>
              </w:tabs>
              <w:jc w:val="center"/>
              <w:rPr>
                <w:rFonts w:ascii="Palatino Linotype" w:hAnsi="Palatino Linotype" w:cs="Arial"/>
                <w:sz w:val="22"/>
                <w:szCs w:val="22"/>
              </w:rPr>
            </w:pPr>
            <w:r>
              <w:rPr>
                <w:rFonts w:ascii="Palatino Linotype" w:hAnsi="Palatino Linotype" w:cs="Arial"/>
                <w:sz w:val="22"/>
                <w:szCs w:val="22"/>
              </w:rPr>
              <w:t>26</w:t>
            </w:r>
          </w:p>
        </w:tc>
      </w:tr>
      <w:tr w:rsidR="00B530EA" w:rsidTr="00ED5617">
        <w:tc>
          <w:tcPr>
            <w:tcW w:w="2160" w:type="dxa"/>
          </w:tcPr>
          <w:p w:rsidR="00B530EA" w:rsidRDefault="00B530EA" w:rsidP="00B0781D">
            <w:pPr>
              <w:tabs>
                <w:tab w:val="left" w:pos="450"/>
              </w:tabs>
              <w:rPr>
                <w:rFonts w:ascii="Palatino Linotype" w:hAnsi="Palatino Linotype" w:cs="Arial"/>
                <w:sz w:val="22"/>
                <w:szCs w:val="22"/>
              </w:rPr>
            </w:pPr>
            <w:r>
              <w:rPr>
                <w:rFonts w:ascii="Palatino Linotype" w:hAnsi="Palatino Linotype" w:cs="Arial"/>
                <w:sz w:val="22"/>
                <w:szCs w:val="22"/>
              </w:rPr>
              <w:t>Mondavi</w:t>
            </w:r>
          </w:p>
        </w:tc>
        <w:tc>
          <w:tcPr>
            <w:tcW w:w="1890" w:type="dxa"/>
          </w:tcPr>
          <w:p w:rsidR="00B530EA" w:rsidRDefault="00B530EA" w:rsidP="00ED5617">
            <w:pPr>
              <w:tabs>
                <w:tab w:val="left" w:pos="450"/>
              </w:tabs>
              <w:jc w:val="center"/>
              <w:rPr>
                <w:rFonts w:ascii="Palatino Linotype" w:hAnsi="Palatino Linotype" w:cs="Arial"/>
                <w:sz w:val="22"/>
                <w:szCs w:val="22"/>
              </w:rPr>
            </w:pPr>
            <w:r>
              <w:rPr>
                <w:rFonts w:ascii="Palatino Linotype" w:hAnsi="Palatino Linotype" w:cs="Arial"/>
                <w:sz w:val="22"/>
                <w:szCs w:val="22"/>
              </w:rPr>
              <w:t>24</w:t>
            </w:r>
          </w:p>
        </w:tc>
      </w:tr>
      <w:tr w:rsidR="00B530EA" w:rsidTr="00ED5617">
        <w:tc>
          <w:tcPr>
            <w:tcW w:w="2160" w:type="dxa"/>
          </w:tcPr>
          <w:p w:rsidR="00B530EA" w:rsidRDefault="00B530EA" w:rsidP="00B0781D">
            <w:pPr>
              <w:tabs>
                <w:tab w:val="left" w:pos="450"/>
              </w:tabs>
              <w:rPr>
                <w:rFonts w:ascii="Palatino Linotype" w:hAnsi="Palatino Linotype" w:cs="Arial"/>
                <w:sz w:val="22"/>
                <w:szCs w:val="22"/>
              </w:rPr>
            </w:pPr>
            <w:r>
              <w:rPr>
                <w:rFonts w:ascii="Palatino Linotype" w:hAnsi="Palatino Linotype" w:cs="Arial"/>
                <w:sz w:val="22"/>
                <w:szCs w:val="22"/>
              </w:rPr>
              <w:t>Judd’s Hill</w:t>
            </w:r>
          </w:p>
        </w:tc>
        <w:tc>
          <w:tcPr>
            <w:tcW w:w="1890" w:type="dxa"/>
          </w:tcPr>
          <w:p w:rsidR="00B530EA" w:rsidRDefault="00B530EA" w:rsidP="00ED5617">
            <w:pPr>
              <w:tabs>
                <w:tab w:val="left" w:pos="450"/>
              </w:tabs>
              <w:jc w:val="center"/>
              <w:rPr>
                <w:rFonts w:ascii="Palatino Linotype" w:hAnsi="Palatino Linotype" w:cs="Arial"/>
                <w:sz w:val="22"/>
                <w:szCs w:val="22"/>
              </w:rPr>
            </w:pPr>
            <w:r>
              <w:rPr>
                <w:rFonts w:ascii="Palatino Linotype" w:hAnsi="Palatino Linotype" w:cs="Arial"/>
                <w:sz w:val="22"/>
                <w:szCs w:val="22"/>
              </w:rPr>
              <w:t>20</w:t>
            </w:r>
          </w:p>
        </w:tc>
      </w:tr>
      <w:tr w:rsidR="00B530EA" w:rsidTr="00ED5617">
        <w:tc>
          <w:tcPr>
            <w:tcW w:w="2160" w:type="dxa"/>
          </w:tcPr>
          <w:p w:rsidR="00B530EA" w:rsidRDefault="00B530EA" w:rsidP="00B0781D">
            <w:pPr>
              <w:tabs>
                <w:tab w:val="left" w:pos="450"/>
              </w:tabs>
              <w:rPr>
                <w:rFonts w:ascii="Palatino Linotype" w:hAnsi="Palatino Linotype" w:cs="Arial"/>
                <w:sz w:val="22"/>
                <w:szCs w:val="22"/>
              </w:rPr>
            </w:pPr>
            <w:r>
              <w:rPr>
                <w:rFonts w:ascii="Palatino Linotype" w:hAnsi="Palatino Linotype" w:cs="Arial"/>
                <w:sz w:val="22"/>
                <w:szCs w:val="22"/>
              </w:rPr>
              <w:t xml:space="preserve">Clos </w:t>
            </w:r>
            <w:proofErr w:type="spellStart"/>
            <w:r>
              <w:rPr>
                <w:rFonts w:ascii="Palatino Linotype" w:hAnsi="Palatino Linotype" w:cs="Arial"/>
                <w:sz w:val="22"/>
                <w:szCs w:val="22"/>
              </w:rPr>
              <w:t>Pegase</w:t>
            </w:r>
            <w:proofErr w:type="spellEnd"/>
          </w:p>
        </w:tc>
        <w:tc>
          <w:tcPr>
            <w:tcW w:w="1890" w:type="dxa"/>
          </w:tcPr>
          <w:p w:rsidR="00B530EA" w:rsidRDefault="00B530EA" w:rsidP="00ED5617">
            <w:pPr>
              <w:tabs>
                <w:tab w:val="left" w:pos="450"/>
              </w:tabs>
              <w:jc w:val="center"/>
              <w:rPr>
                <w:rFonts w:ascii="Palatino Linotype" w:hAnsi="Palatino Linotype" w:cs="Arial"/>
                <w:sz w:val="22"/>
                <w:szCs w:val="22"/>
              </w:rPr>
            </w:pPr>
            <w:r>
              <w:rPr>
                <w:rFonts w:ascii="Palatino Linotype" w:hAnsi="Palatino Linotype" w:cs="Arial"/>
                <w:sz w:val="22"/>
                <w:szCs w:val="22"/>
              </w:rPr>
              <w:t>18</w:t>
            </w:r>
          </w:p>
        </w:tc>
      </w:tr>
      <w:tr w:rsidR="00B530EA" w:rsidTr="00ED5617">
        <w:tc>
          <w:tcPr>
            <w:tcW w:w="2160" w:type="dxa"/>
          </w:tcPr>
          <w:p w:rsidR="00B530EA" w:rsidRDefault="00B530EA" w:rsidP="00B0781D">
            <w:pPr>
              <w:tabs>
                <w:tab w:val="left" w:pos="450"/>
              </w:tabs>
              <w:rPr>
                <w:rFonts w:ascii="Palatino Linotype" w:hAnsi="Palatino Linotype" w:cs="Arial"/>
                <w:sz w:val="22"/>
                <w:szCs w:val="22"/>
              </w:rPr>
            </w:pPr>
            <w:r>
              <w:rPr>
                <w:rFonts w:ascii="Palatino Linotype" w:hAnsi="Palatino Linotype" w:cs="Arial"/>
                <w:sz w:val="22"/>
                <w:szCs w:val="22"/>
              </w:rPr>
              <w:t>Frog’s Leap</w:t>
            </w:r>
          </w:p>
        </w:tc>
        <w:tc>
          <w:tcPr>
            <w:tcW w:w="1890" w:type="dxa"/>
          </w:tcPr>
          <w:p w:rsidR="00B530EA" w:rsidRDefault="00B530EA" w:rsidP="00ED5617">
            <w:pPr>
              <w:tabs>
                <w:tab w:val="left" w:pos="450"/>
              </w:tabs>
              <w:jc w:val="center"/>
              <w:rPr>
                <w:rFonts w:ascii="Palatino Linotype" w:hAnsi="Palatino Linotype" w:cs="Arial"/>
                <w:sz w:val="22"/>
                <w:szCs w:val="22"/>
              </w:rPr>
            </w:pPr>
            <w:r>
              <w:rPr>
                <w:rFonts w:ascii="Palatino Linotype" w:hAnsi="Palatino Linotype" w:cs="Arial"/>
                <w:sz w:val="22"/>
                <w:szCs w:val="22"/>
              </w:rPr>
              <w:t>16</w:t>
            </w:r>
          </w:p>
        </w:tc>
      </w:tr>
      <w:tr w:rsidR="00B530EA" w:rsidTr="00ED5617">
        <w:tc>
          <w:tcPr>
            <w:tcW w:w="2160" w:type="dxa"/>
          </w:tcPr>
          <w:p w:rsidR="00B530EA" w:rsidRDefault="00B530EA" w:rsidP="00B0781D">
            <w:pPr>
              <w:tabs>
                <w:tab w:val="left" w:pos="450"/>
              </w:tabs>
              <w:rPr>
                <w:rFonts w:ascii="Palatino Linotype" w:hAnsi="Palatino Linotype" w:cs="Arial"/>
                <w:sz w:val="22"/>
                <w:szCs w:val="22"/>
              </w:rPr>
            </w:pPr>
            <w:proofErr w:type="spellStart"/>
            <w:r>
              <w:rPr>
                <w:rFonts w:ascii="Palatino Linotype" w:hAnsi="Palatino Linotype" w:cs="Arial"/>
                <w:sz w:val="22"/>
                <w:szCs w:val="22"/>
              </w:rPr>
              <w:t>Zahtila</w:t>
            </w:r>
            <w:proofErr w:type="spellEnd"/>
          </w:p>
        </w:tc>
        <w:tc>
          <w:tcPr>
            <w:tcW w:w="1890" w:type="dxa"/>
          </w:tcPr>
          <w:p w:rsidR="00B530EA" w:rsidRDefault="00B530EA" w:rsidP="00ED5617">
            <w:pPr>
              <w:tabs>
                <w:tab w:val="left" w:pos="450"/>
              </w:tabs>
              <w:jc w:val="center"/>
              <w:rPr>
                <w:rFonts w:ascii="Palatino Linotype" w:hAnsi="Palatino Linotype" w:cs="Arial"/>
                <w:sz w:val="22"/>
                <w:szCs w:val="22"/>
              </w:rPr>
            </w:pPr>
            <w:r>
              <w:rPr>
                <w:rFonts w:ascii="Palatino Linotype" w:hAnsi="Palatino Linotype" w:cs="Arial"/>
                <w:sz w:val="22"/>
                <w:szCs w:val="22"/>
              </w:rPr>
              <w:t>16</w:t>
            </w:r>
          </w:p>
        </w:tc>
      </w:tr>
    </w:tbl>
    <w:p w:rsidR="00A07B60" w:rsidRDefault="00A07B60" w:rsidP="00B0781D">
      <w:pPr>
        <w:tabs>
          <w:tab w:val="left" w:pos="450"/>
        </w:tabs>
        <w:rPr>
          <w:rFonts w:ascii="Palatino Linotype" w:hAnsi="Palatino Linotype" w:cs="Arial"/>
          <w:sz w:val="22"/>
          <w:szCs w:val="22"/>
        </w:rPr>
      </w:pPr>
    </w:p>
    <w:p w:rsidR="00B530EA" w:rsidRDefault="00B530EA" w:rsidP="00B0781D">
      <w:pPr>
        <w:tabs>
          <w:tab w:val="left" w:pos="450"/>
        </w:tabs>
        <w:rPr>
          <w:rFonts w:ascii="Palatino Linotype" w:hAnsi="Palatino Linotype" w:cs="Arial"/>
          <w:sz w:val="22"/>
          <w:szCs w:val="22"/>
        </w:rPr>
      </w:pPr>
      <w:r>
        <w:rPr>
          <w:rFonts w:ascii="Palatino Linotype" w:hAnsi="Palatino Linotype" w:cs="Arial"/>
          <w:sz w:val="22"/>
          <w:szCs w:val="22"/>
        </w:rPr>
        <w:t>It should be noted that venues at the top of this list are only averaging 1 to 2 events annually.  In addition, the list is not exclusive to wineries.  Other venues that have held at least one event per year on average include The White Barn and the Di Rosa Gallery.</w:t>
      </w:r>
    </w:p>
    <w:p w:rsidR="00E71375" w:rsidRDefault="00E71375" w:rsidP="00B0781D">
      <w:pPr>
        <w:tabs>
          <w:tab w:val="left" w:pos="450"/>
        </w:tabs>
        <w:rPr>
          <w:rFonts w:ascii="Palatino Linotype" w:hAnsi="Palatino Linotype" w:cs="Arial"/>
          <w:sz w:val="22"/>
          <w:szCs w:val="22"/>
        </w:rPr>
      </w:pPr>
    </w:p>
    <w:p w:rsidR="00AB671D" w:rsidRDefault="00AB671D" w:rsidP="00B0781D">
      <w:pPr>
        <w:tabs>
          <w:tab w:val="left" w:pos="450"/>
        </w:tabs>
        <w:rPr>
          <w:rFonts w:ascii="Palatino Linotype" w:hAnsi="Palatino Linotype" w:cs="Arial"/>
          <w:sz w:val="22"/>
          <w:szCs w:val="22"/>
        </w:rPr>
      </w:pPr>
      <w:r>
        <w:rPr>
          <w:rFonts w:ascii="Palatino Linotype" w:hAnsi="Palatino Linotype" w:cs="Arial"/>
          <w:sz w:val="22"/>
          <w:szCs w:val="22"/>
        </w:rPr>
        <w:t>As previously stated by s</w:t>
      </w:r>
      <w:r w:rsidR="00EA5C58">
        <w:rPr>
          <w:rFonts w:ascii="Palatino Linotype" w:hAnsi="Palatino Linotype" w:cs="Arial"/>
          <w:sz w:val="22"/>
          <w:szCs w:val="22"/>
        </w:rPr>
        <w:t xml:space="preserve">taff, temporary events are not regulated under the zoning code, but instead come under the Business Taxes, Licenses and Regulations Code. Temporary events may include actions that include constitutional issues related to freedom of assembly, freedom of religion, and freedom of speech.  They hold a different status than typical planning matters, in that they are not an entitlement that runs with the land, but instead are based on the impacts of the activity wherever it may be located.  Because of their unique status, and due </w:t>
      </w:r>
      <w:r>
        <w:rPr>
          <w:rFonts w:ascii="Palatino Linotype" w:hAnsi="Palatino Linotype" w:cs="Arial"/>
          <w:sz w:val="22"/>
          <w:szCs w:val="22"/>
        </w:rPr>
        <w:t>to the low numbers of temporary events that have been ap</w:t>
      </w:r>
      <w:r w:rsidR="00EA5C58">
        <w:rPr>
          <w:rFonts w:ascii="Palatino Linotype" w:hAnsi="Palatino Linotype" w:cs="Arial"/>
          <w:sz w:val="22"/>
          <w:szCs w:val="22"/>
        </w:rPr>
        <w:t xml:space="preserve">proved historically, staff does not recommend that they be integrated into a Use Permit project description.  </w:t>
      </w:r>
    </w:p>
    <w:p w:rsidR="00AB671D" w:rsidRDefault="00AB671D" w:rsidP="00B0781D">
      <w:pPr>
        <w:tabs>
          <w:tab w:val="left" w:pos="450"/>
        </w:tabs>
        <w:rPr>
          <w:rFonts w:ascii="Palatino Linotype" w:hAnsi="Palatino Linotype" w:cs="Arial"/>
          <w:sz w:val="22"/>
          <w:szCs w:val="22"/>
        </w:rPr>
      </w:pPr>
    </w:p>
    <w:p w:rsidR="007E1EB1" w:rsidRDefault="007E1EB1" w:rsidP="00B0781D">
      <w:pPr>
        <w:tabs>
          <w:tab w:val="left" w:pos="450"/>
        </w:tabs>
        <w:rPr>
          <w:rFonts w:ascii="Palatino Linotype" w:hAnsi="Palatino Linotype" w:cs="Arial"/>
          <w:sz w:val="22"/>
          <w:szCs w:val="22"/>
        </w:rPr>
      </w:pPr>
    </w:p>
    <w:p w:rsidR="007E1EB1" w:rsidRDefault="007E1EB1" w:rsidP="00B0781D">
      <w:pPr>
        <w:tabs>
          <w:tab w:val="left" w:pos="450"/>
        </w:tabs>
        <w:rPr>
          <w:rFonts w:ascii="Palatino Linotype" w:hAnsi="Palatino Linotype" w:cs="Arial"/>
          <w:sz w:val="22"/>
          <w:szCs w:val="22"/>
        </w:rPr>
      </w:pPr>
    </w:p>
    <w:p w:rsidR="000E2CBB" w:rsidRPr="000E2CBB" w:rsidRDefault="000E2CBB" w:rsidP="00B0781D">
      <w:pPr>
        <w:tabs>
          <w:tab w:val="left" w:pos="450"/>
        </w:tabs>
        <w:rPr>
          <w:rFonts w:ascii="Palatino Linotype" w:hAnsi="Palatino Linotype" w:cs="Arial"/>
          <w:b/>
          <w:sz w:val="22"/>
          <w:szCs w:val="22"/>
          <w:u w:val="single"/>
        </w:rPr>
      </w:pPr>
      <w:r w:rsidRPr="000E2CBB">
        <w:rPr>
          <w:rFonts w:ascii="Palatino Linotype" w:hAnsi="Palatino Linotype" w:cs="Arial"/>
          <w:b/>
          <w:sz w:val="22"/>
          <w:szCs w:val="22"/>
          <w:u w:val="single"/>
        </w:rPr>
        <w:lastRenderedPageBreak/>
        <w:t>Outdoor Visitation Areas</w:t>
      </w:r>
    </w:p>
    <w:p w:rsidR="000E2CBB" w:rsidRDefault="000E2CBB" w:rsidP="0080328E">
      <w:pPr>
        <w:tabs>
          <w:tab w:val="left" w:pos="450"/>
        </w:tabs>
        <w:rPr>
          <w:rFonts w:ascii="Palatino Linotype" w:hAnsi="Palatino Linotype" w:cs="Arial"/>
          <w:sz w:val="22"/>
          <w:szCs w:val="22"/>
        </w:rPr>
      </w:pPr>
    </w:p>
    <w:p w:rsidR="007E1EB1" w:rsidRDefault="007E1EB1" w:rsidP="0080328E">
      <w:pPr>
        <w:tabs>
          <w:tab w:val="left" w:pos="450"/>
        </w:tabs>
        <w:rPr>
          <w:rFonts w:ascii="Palatino Linotype" w:hAnsi="Palatino Linotype" w:cs="Arial"/>
          <w:sz w:val="22"/>
          <w:szCs w:val="22"/>
        </w:rPr>
      </w:pPr>
      <w:r>
        <w:rPr>
          <w:rFonts w:ascii="Palatino Linotype" w:hAnsi="Palatino Linotype" w:cs="Arial"/>
          <w:sz w:val="22"/>
          <w:szCs w:val="22"/>
        </w:rPr>
        <w:t>At the September 30, 2015, meeting, Commissioners requested staff to clarify the difference between “winery development area” and “winery coverage area.”  In order to do so, a review of the County Code is needed.</w:t>
      </w:r>
    </w:p>
    <w:p w:rsidR="007E1EB1" w:rsidRPr="0080328E" w:rsidRDefault="007E1EB1" w:rsidP="0080328E">
      <w:pPr>
        <w:tabs>
          <w:tab w:val="left" w:pos="450"/>
        </w:tabs>
        <w:rPr>
          <w:rFonts w:ascii="Palatino Linotype" w:hAnsi="Palatino Linotype" w:cs="Arial"/>
          <w:sz w:val="22"/>
          <w:szCs w:val="22"/>
        </w:rPr>
      </w:pPr>
    </w:p>
    <w:p w:rsidR="00C41896" w:rsidRPr="007838E6" w:rsidRDefault="0080328E" w:rsidP="007E1EB1">
      <w:pPr>
        <w:shd w:val="clear" w:color="auto" w:fill="FFFFFF"/>
        <w:rPr>
          <w:rFonts w:ascii="Palatino Linotype" w:hAnsi="Palatino Linotype" w:cs="Arial"/>
          <w:bCs/>
          <w:color w:val="333333"/>
          <w:sz w:val="22"/>
          <w:szCs w:val="22"/>
        </w:rPr>
      </w:pPr>
      <w:r w:rsidRPr="007838E6">
        <w:rPr>
          <w:rStyle w:val="chunk-title"/>
          <w:rFonts w:ascii="Palatino Linotype" w:hAnsi="Palatino Linotype" w:cs="Arial"/>
          <w:bCs/>
          <w:color w:val="333333"/>
          <w:sz w:val="22"/>
          <w:szCs w:val="22"/>
        </w:rPr>
        <w:t xml:space="preserve">Section </w:t>
      </w:r>
      <w:r w:rsidR="00C41896" w:rsidRPr="007838E6">
        <w:rPr>
          <w:rStyle w:val="chunk-title"/>
          <w:rFonts w:ascii="Palatino Linotype" w:hAnsi="Palatino Linotype" w:cs="Arial"/>
          <w:bCs/>
          <w:color w:val="333333"/>
          <w:sz w:val="22"/>
          <w:szCs w:val="22"/>
        </w:rPr>
        <w:t xml:space="preserve">18.104.210 </w:t>
      </w:r>
      <w:r w:rsidRPr="007838E6">
        <w:rPr>
          <w:rStyle w:val="chunk-title"/>
          <w:rFonts w:ascii="Palatino Linotype" w:hAnsi="Palatino Linotype" w:cs="Arial"/>
          <w:bCs/>
          <w:color w:val="333333"/>
          <w:sz w:val="22"/>
          <w:szCs w:val="22"/>
        </w:rPr>
        <w:t>of the County Code defines “Winery Deve</w:t>
      </w:r>
      <w:r w:rsidR="00C41896" w:rsidRPr="007838E6">
        <w:rPr>
          <w:rStyle w:val="chunk-title"/>
          <w:rFonts w:ascii="Palatino Linotype" w:hAnsi="Palatino Linotype" w:cs="Arial"/>
          <w:bCs/>
          <w:color w:val="333333"/>
          <w:sz w:val="22"/>
          <w:szCs w:val="22"/>
        </w:rPr>
        <w:t xml:space="preserve">lopment </w:t>
      </w:r>
      <w:r w:rsidRPr="007838E6">
        <w:rPr>
          <w:rStyle w:val="chunk-title"/>
          <w:rFonts w:ascii="Palatino Linotype" w:hAnsi="Palatino Linotype" w:cs="Arial"/>
          <w:bCs/>
          <w:color w:val="333333"/>
          <w:sz w:val="22"/>
          <w:szCs w:val="22"/>
        </w:rPr>
        <w:t>Area” as follows:</w:t>
      </w:r>
    </w:p>
    <w:p w:rsidR="00C41896" w:rsidRPr="007838E6" w:rsidRDefault="00C41896" w:rsidP="007E1EB1">
      <w:pPr>
        <w:pStyle w:val="incr0"/>
        <w:shd w:val="clear" w:color="auto" w:fill="FFFFFF"/>
        <w:spacing w:after="0"/>
        <w:rPr>
          <w:rFonts w:ascii="Palatino Linotype" w:hAnsi="Palatino Linotype" w:cs="Arial"/>
          <w:color w:val="333333"/>
          <w:sz w:val="22"/>
          <w:szCs w:val="22"/>
        </w:rPr>
      </w:pPr>
    </w:p>
    <w:p w:rsidR="00C41896" w:rsidRPr="007838E6" w:rsidRDefault="00C41896" w:rsidP="007E1EB1">
      <w:pPr>
        <w:pStyle w:val="content1"/>
        <w:shd w:val="clear" w:color="auto" w:fill="FFFFFF"/>
        <w:spacing w:after="0"/>
        <w:ind w:left="540"/>
        <w:rPr>
          <w:rFonts w:ascii="Palatino Linotype" w:hAnsi="Palatino Linotype" w:cs="Arial"/>
          <w:color w:val="333333"/>
          <w:sz w:val="22"/>
          <w:szCs w:val="22"/>
        </w:rPr>
      </w:pPr>
      <w:r w:rsidRPr="007838E6">
        <w:rPr>
          <w:rFonts w:ascii="Palatino Linotype" w:hAnsi="Palatino Linotype" w:cs="Arial"/>
          <w:color w:val="333333"/>
          <w:sz w:val="22"/>
          <w:szCs w:val="22"/>
        </w:rPr>
        <w:t xml:space="preserve">The winery development area of a winery shall be contiguous to and shall not exceed one hundred percent of the winery area calculated according to subsection (B) of this section which is </w:t>
      </w:r>
      <w:proofErr w:type="gramStart"/>
      <w:r w:rsidRPr="007838E6">
        <w:rPr>
          <w:rFonts w:ascii="Palatino Linotype" w:hAnsi="Palatino Linotype" w:cs="Arial"/>
          <w:color w:val="333333"/>
          <w:sz w:val="22"/>
          <w:szCs w:val="22"/>
        </w:rPr>
        <w:t>existing</w:t>
      </w:r>
      <w:proofErr w:type="gramEnd"/>
      <w:r w:rsidRPr="007838E6">
        <w:rPr>
          <w:rFonts w:ascii="Palatino Linotype" w:hAnsi="Palatino Linotype" w:cs="Arial"/>
          <w:color w:val="333333"/>
          <w:sz w:val="22"/>
          <w:szCs w:val="22"/>
        </w:rPr>
        <w:t xml:space="preserve"> as of the date of adoption of the ordinance codified in this section. </w:t>
      </w:r>
    </w:p>
    <w:p w:rsidR="007838E6" w:rsidRPr="007838E6" w:rsidRDefault="007838E6" w:rsidP="007E1EB1">
      <w:pPr>
        <w:pStyle w:val="incr0"/>
        <w:shd w:val="clear" w:color="auto" w:fill="FFFFFF"/>
        <w:spacing w:after="0"/>
        <w:ind w:left="540"/>
        <w:rPr>
          <w:rFonts w:ascii="Palatino Linotype" w:hAnsi="Palatino Linotype" w:cs="Arial"/>
          <w:color w:val="333333"/>
          <w:sz w:val="22"/>
          <w:szCs w:val="22"/>
        </w:rPr>
      </w:pPr>
    </w:p>
    <w:p w:rsidR="00C41896" w:rsidRPr="007838E6" w:rsidRDefault="00C41896" w:rsidP="007E1EB1">
      <w:pPr>
        <w:pStyle w:val="incr0"/>
        <w:shd w:val="clear" w:color="auto" w:fill="FFFFFF"/>
        <w:spacing w:after="0"/>
        <w:ind w:left="540"/>
        <w:rPr>
          <w:rFonts w:ascii="Palatino Linotype" w:hAnsi="Palatino Linotype" w:cs="Arial"/>
          <w:color w:val="333333"/>
          <w:sz w:val="22"/>
          <w:szCs w:val="22"/>
        </w:rPr>
      </w:pPr>
      <w:r w:rsidRPr="007838E6">
        <w:rPr>
          <w:rFonts w:ascii="Palatino Linotype" w:hAnsi="Palatino Linotype" w:cs="Arial"/>
          <w:color w:val="333333"/>
          <w:sz w:val="22"/>
          <w:szCs w:val="22"/>
        </w:rPr>
        <w:t xml:space="preserve">The winery area shall be the aggregate paved or impervious or semipermeable ground surface areas of the production facility, storage areas (except caves), offices, laboratories, kitchens, tasting rooms and paved parking areas for the exclusive use of winery employees. </w:t>
      </w:r>
    </w:p>
    <w:p w:rsidR="007838E6" w:rsidRPr="007838E6" w:rsidRDefault="007838E6" w:rsidP="007E1EB1">
      <w:pPr>
        <w:pStyle w:val="incr0"/>
        <w:shd w:val="clear" w:color="auto" w:fill="FFFFFF"/>
        <w:spacing w:after="0"/>
        <w:ind w:left="540"/>
        <w:rPr>
          <w:rFonts w:ascii="Palatino Linotype" w:hAnsi="Palatino Linotype" w:cs="Arial"/>
          <w:color w:val="333333"/>
          <w:sz w:val="22"/>
          <w:szCs w:val="22"/>
        </w:rPr>
      </w:pPr>
    </w:p>
    <w:p w:rsidR="00C41896" w:rsidRPr="007838E6" w:rsidRDefault="00C41896" w:rsidP="007E1EB1">
      <w:pPr>
        <w:pStyle w:val="incr0"/>
        <w:shd w:val="clear" w:color="auto" w:fill="FFFFFF"/>
        <w:spacing w:after="0"/>
        <w:ind w:left="540"/>
        <w:rPr>
          <w:rFonts w:ascii="Palatino Linotype" w:hAnsi="Palatino Linotype" w:cs="Arial"/>
          <w:color w:val="333333"/>
          <w:sz w:val="22"/>
          <w:szCs w:val="22"/>
        </w:rPr>
      </w:pPr>
      <w:r w:rsidRPr="007838E6">
        <w:rPr>
          <w:rFonts w:ascii="Palatino Linotype" w:hAnsi="Palatino Linotype" w:cs="Arial"/>
          <w:color w:val="333333"/>
          <w:sz w:val="22"/>
          <w:szCs w:val="22"/>
        </w:rPr>
        <w:t>Construction of additional facilities beyond the winery development area without compliance with</w:t>
      </w:r>
      <w:r w:rsidRPr="007838E6">
        <w:rPr>
          <w:rFonts w:ascii="Palatino Linotype" w:hAnsi="Palatino Linotype" w:cs="Arial"/>
          <w:color w:val="3399F3"/>
          <w:sz w:val="22"/>
          <w:szCs w:val="22"/>
          <w:u w:val="single"/>
        </w:rPr>
        <w:t xml:space="preserve"> </w:t>
      </w:r>
      <w:r w:rsidRPr="007838E6">
        <w:rPr>
          <w:rFonts w:ascii="Palatino Linotype" w:hAnsi="Palatino Linotype" w:cs="Arial"/>
          <w:sz w:val="22"/>
          <w:szCs w:val="22"/>
        </w:rPr>
        <w:t xml:space="preserve">Section 18.104.250 </w:t>
      </w:r>
      <w:r w:rsidRPr="007838E6">
        <w:rPr>
          <w:rFonts w:ascii="Palatino Linotype" w:hAnsi="Palatino Linotype" w:cs="Arial"/>
          <w:color w:val="333333"/>
          <w:sz w:val="22"/>
          <w:szCs w:val="22"/>
        </w:rPr>
        <w:t xml:space="preserve">may be permitted only if required by the director to correct emergency health and safety conditions not related to expansion of production. </w:t>
      </w:r>
    </w:p>
    <w:p w:rsidR="00C41896" w:rsidRPr="007838E6" w:rsidRDefault="00C41896" w:rsidP="007E1EB1">
      <w:pPr>
        <w:tabs>
          <w:tab w:val="left" w:pos="450"/>
        </w:tabs>
        <w:rPr>
          <w:rFonts w:ascii="Palatino Linotype" w:hAnsi="Palatino Linotype" w:cs="Arial"/>
          <w:sz w:val="22"/>
          <w:szCs w:val="22"/>
        </w:rPr>
      </w:pPr>
    </w:p>
    <w:p w:rsidR="002E0F94" w:rsidRPr="007838E6" w:rsidRDefault="007838E6" w:rsidP="007E1EB1">
      <w:pPr>
        <w:tabs>
          <w:tab w:val="left" w:pos="450"/>
        </w:tabs>
        <w:rPr>
          <w:rFonts w:ascii="Palatino Linotype" w:hAnsi="Palatino Linotype" w:cs="Arial"/>
          <w:sz w:val="22"/>
          <w:szCs w:val="22"/>
        </w:rPr>
      </w:pPr>
      <w:r w:rsidRPr="007838E6">
        <w:rPr>
          <w:rFonts w:ascii="Palatino Linotype" w:hAnsi="Palatino Linotype" w:cs="Arial"/>
          <w:sz w:val="22"/>
          <w:szCs w:val="22"/>
        </w:rPr>
        <w:t>Section 18.104.250 of the County Code requires:</w:t>
      </w:r>
    </w:p>
    <w:p w:rsidR="007838E6" w:rsidRPr="007838E6" w:rsidRDefault="007838E6" w:rsidP="007E1EB1">
      <w:pPr>
        <w:tabs>
          <w:tab w:val="left" w:pos="450"/>
        </w:tabs>
        <w:rPr>
          <w:rFonts w:ascii="Palatino Linotype" w:hAnsi="Palatino Linotype" w:cs="Arial"/>
          <w:sz w:val="22"/>
          <w:szCs w:val="22"/>
        </w:rPr>
      </w:pPr>
    </w:p>
    <w:p w:rsidR="007838E6" w:rsidRPr="007838E6" w:rsidRDefault="007838E6" w:rsidP="007E1EB1">
      <w:pPr>
        <w:pStyle w:val="content1"/>
        <w:shd w:val="clear" w:color="auto" w:fill="FFFFFF"/>
        <w:spacing w:after="0"/>
        <w:ind w:left="540"/>
        <w:rPr>
          <w:rFonts w:ascii="Palatino Linotype" w:hAnsi="Palatino Linotype" w:cs="Arial"/>
          <w:color w:val="333333"/>
          <w:sz w:val="22"/>
          <w:szCs w:val="22"/>
        </w:rPr>
      </w:pPr>
      <w:r w:rsidRPr="007838E6">
        <w:rPr>
          <w:rFonts w:ascii="Palatino Linotype" w:hAnsi="Palatino Linotype" w:cs="Arial"/>
          <w:color w:val="333333"/>
          <w:sz w:val="22"/>
          <w:szCs w:val="22"/>
        </w:rPr>
        <w:t xml:space="preserve">All existing wineries which expand beyond their winery development area shall be subject to the following additional limitations: </w:t>
      </w:r>
    </w:p>
    <w:p w:rsidR="007838E6" w:rsidRPr="007838E6" w:rsidRDefault="007838E6" w:rsidP="007E1EB1">
      <w:pPr>
        <w:pStyle w:val="incr1"/>
        <w:shd w:val="clear" w:color="auto" w:fill="FFFFFF"/>
        <w:spacing w:after="0"/>
        <w:rPr>
          <w:rFonts w:ascii="Palatino Linotype" w:hAnsi="Palatino Linotype" w:cs="Arial"/>
          <w:color w:val="333333"/>
          <w:sz w:val="22"/>
          <w:szCs w:val="22"/>
        </w:rPr>
      </w:pPr>
    </w:p>
    <w:p w:rsidR="007838E6" w:rsidRPr="007838E6" w:rsidRDefault="007838E6" w:rsidP="007E1EB1">
      <w:pPr>
        <w:pStyle w:val="content2"/>
        <w:numPr>
          <w:ilvl w:val="0"/>
          <w:numId w:val="2"/>
        </w:numPr>
        <w:shd w:val="clear" w:color="auto" w:fill="FFFFFF"/>
        <w:spacing w:after="0"/>
        <w:ind w:left="1080" w:hanging="540"/>
        <w:rPr>
          <w:rFonts w:ascii="Palatino Linotype" w:hAnsi="Palatino Linotype" w:cs="Arial"/>
          <w:color w:val="333333"/>
          <w:sz w:val="22"/>
          <w:szCs w:val="22"/>
        </w:rPr>
      </w:pPr>
      <w:r w:rsidRPr="007838E6">
        <w:rPr>
          <w:rFonts w:ascii="Palatino Linotype" w:hAnsi="Palatino Linotype" w:cs="Arial"/>
          <w:color w:val="333333"/>
          <w:sz w:val="22"/>
          <w:szCs w:val="22"/>
        </w:rPr>
        <w:t xml:space="preserve">At least seventy-five percent of the grapes used to make that portion of the winery's still wine which is produced as a result of the expansion shall be grown within the county of Napa. </w:t>
      </w:r>
    </w:p>
    <w:p w:rsidR="007838E6" w:rsidRPr="007838E6" w:rsidRDefault="007838E6" w:rsidP="007E1EB1">
      <w:pPr>
        <w:pStyle w:val="incr1"/>
        <w:shd w:val="clear" w:color="auto" w:fill="FFFFFF"/>
        <w:spacing w:after="0"/>
        <w:ind w:left="1080" w:hanging="540"/>
        <w:rPr>
          <w:rFonts w:ascii="Palatino Linotype" w:hAnsi="Palatino Linotype" w:cs="Arial"/>
          <w:color w:val="333333"/>
          <w:sz w:val="22"/>
          <w:szCs w:val="22"/>
        </w:rPr>
      </w:pPr>
    </w:p>
    <w:p w:rsidR="007838E6" w:rsidRPr="007838E6" w:rsidRDefault="007838E6" w:rsidP="007E1EB1">
      <w:pPr>
        <w:pStyle w:val="incr1"/>
        <w:numPr>
          <w:ilvl w:val="0"/>
          <w:numId w:val="2"/>
        </w:numPr>
        <w:shd w:val="clear" w:color="auto" w:fill="FFFFFF"/>
        <w:spacing w:after="0"/>
        <w:ind w:left="1080" w:hanging="540"/>
        <w:rPr>
          <w:rFonts w:ascii="Palatino Linotype" w:hAnsi="Palatino Linotype" w:cs="Arial"/>
          <w:color w:val="333333"/>
          <w:sz w:val="22"/>
          <w:szCs w:val="22"/>
        </w:rPr>
      </w:pPr>
      <w:r w:rsidRPr="007838E6">
        <w:rPr>
          <w:rFonts w:ascii="Palatino Linotype" w:hAnsi="Palatino Linotype" w:cs="Arial"/>
          <w:color w:val="333333"/>
          <w:sz w:val="22"/>
          <w:szCs w:val="22"/>
        </w:rPr>
        <w:t xml:space="preserve">At least seventy-five percent of the grapes used to make the still wine used to make the sparkling wine that is produced as a result of the expansion shall be grown within the county of Napa. </w:t>
      </w:r>
    </w:p>
    <w:p w:rsidR="007838E6" w:rsidRDefault="007838E6" w:rsidP="007E1EB1">
      <w:pPr>
        <w:tabs>
          <w:tab w:val="left" w:pos="450"/>
        </w:tabs>
        <w:rPr>
          <w:rFonts w:ascii="Palatino Linotype" w:hAnsi="Palatino Linotype" w:cs="Arial"/>
          <w:sz w:val="22"/>
          <w:szCs w:val="22"/>
        </w:rPr>
      </w:pPr>
    </w:p>
    <w:p w:rsidR="007838E6" w:rsidRPr="007838E6" w:rsidRDefault="007838E6" w:rsidP="007E1EB1">
      <w:pPr>
        <w:tabs>
          <w:tab w:val="left" w:pos="450"/>
        </w:tabs>
        <w:rPr>
          <w:rFonts w:ascii="Palatino Linotype" w:hAnsi="Palatino Linotype" w:cs="Arial"/>
          <w:sz w:val="22"/>
          <w:szCs w:val="22"/>
        </w:rPr>
      </w:pPr>
      <w:r w:rsidRPr="007838E6">
        <w:rPr>
          <w:rFonts w:ascii="Palatino Linotype" w:hAnsi="Palatino Linotype" w:cs="Arial"/>
          <w:sz w:val="22"/>
          <w:szCs w:val="22"/>
        </w:rPr>
        <w:t>Section 18.104.220 of the County Code states:</w:t>
      </w:r>
    </w:p>
    <w:p w:rsidR="007838E6" w:rsidRPr="007838E6" w:rsidRDefault="007838E6" w:rsidP="007E1EB1">
      <w:pPr>
        <w:tabs>
          <w:tab w:val="left" w:pos="450"/>
        </w:tabs>
        <w:rPr>
          <w:rFonts w:ascii="Palatino Linotype" w:hAnsi="Palatino Linotype" w:cs="Arial"/>
          <w:sz w:val="22"/>
          <w:szCs w:val="22"/>
        </w:rPr>
      </w:pPr>
    </w:p>
    <w:p w:rsidR="002E0F94" w:rsidRPr="007838E6" w:rsidRDefault="007838E6" w:rsidP="007E1EB1">
      <w:pPr>
        <w:tabs>
          <w:tab w:val="left" w:pos="450"/>
        </w:tabs>
        <w:ind w:left="450"/>
        <w:rPr>
          <w:rFonts w:ascii="Palatino Linotype" w:hAnsi="Palatino Linotype" w:cs="Arial"/>
          <w:sz w:val="22"/>
          <w:szCs w:val="22"/>
        </w:rPr>
      </w:pPr>
      <w:r w:rsidRPr="007838E6">
        <w:rPr>
          <w:rFonts w:ascii="Palatino Linotype" w:hAnsi="Palatino Linotype" w:cs="Arial"/>
          <w:color w:val="333333"/>
          <w:sz w:val="22"/>
          <w:szCs w:val="22"/>
        </w:rPr>
        <w:t>The maximum coverage of new or expanded wineries shall be twenty-five percent of the existing parcel or fifteen acres, whichever is less. Coverage for the purposes of this measure shall be the aggregate paved or impervious ground surface areas of the production facility, storage areas (except caves), offices, laboratories, kitchens, tasting rooms, paved areas and access roads to public or private roads or rights-of-way and aboveground sewage disposal systems.</w:t>
      </w:r>
    </w:p>
    <w:p w:rsidR="007838E6" w:rsidRDefault="007838E6" w:rsidP="00B0781D">
      <w:pPr>
        <w:tabs>
          <w:tab w:val="left" w:pos="450"/>
        </w:tabs>
        <w:rPr>
          <w:rFonts w:ascii="Palatino Linotype" w:hAnsi="Palatino Linotype" w:cs="Arial"/>
          <w:sz w:val="22"/>
          <w:szCs w:val="22"/>
        </w:rPr>
      </w:pPr>
    </w:p>
    <w:p w:rsidR="007E1EB1" w:rsidRDefault="007E1EB1" w:rsidP="00B0781D">
      <w:pPr>
        <w:tabs>
          <w:tab w:val="left" w:pos="450"/>
        </w:tabs>
        <w:rPr>
          <w:rFonts w:ascii="Palatino Linotype" w:hAnsi="Palatino Linotype" w:cs="Arial"/>
          <w:sz w:val="22"/>
          <w:szCs w:val="22"/>
        </w:rPr>
      </w:pPr>
      <w:r>
        <w:rPr>
          <w:rFonts w:ascii="Palatino Linotype" w:hAnsi="Palatino Linotype" w:cs="Arial"/>
          <w:sz w:val="22"/>
          <w:szCs w:val="22"/>
        </w:rPr>
        <w:t xml:space="preserve">So there are two primary differences between “winery development area” and “winery coverage area.”  The first is in definition.  Winery coverage area includes aboveground sewage disposal systems, which the winery development area excludes.  The second difference is in usage.  Winery development areas are used to determine the legal conforming rights of pre-WDO wineries in partially determining whether or not modifications of the use permit require compliance with the 75 percent rule.  In contrast, winery coverage area is used to determine the maximum extent to which a parcel may be used for winery purposes.  </w:t>
      </w:r>
    </w:p>
    <w:p w:rsidR="007E1EB1" w:rsidRDefault="007E1EB1" w:rsidP="00B0781D">
      <w:pPr>
        <w:tabs>
          <w:tab w:val="left" w:pos="450"/>
        </w:tabs>
        <w:rPr>
          <w:rFonts w:ascii="Palatino Linotype" w:hAnsi="Palatino Linotype" w:cs="Arial"/>
          <w:sz w:val="22"/>
          <w:szCs w:val="22"/>
        </w:rPr>
      </w:pPr>
    </w:p>
    <w:p w:rsidR="000E2CBB" w:rsidRPr="000E2CBB" w:rsidRDefault="000E2CBB" w:rsidP="00B0781D">
      <w:pPr>
        <w:tabs>
          <w:tab w:val="left" w:pos="450"/>
        </w:tabs>
        <w:rPr>
          <w:rFonts w:ascii="Palatino Linotype" w:hAnsi="Palatino Linotype" w:cs="Arial"/>
          <w:b/>
          <w:sz w:val="22"/>
          <w:szCs w:val="22"/>
          <w:u w:val="single"/>
        </w:rPr>
      </w:pPr>
      <w:r w:rsidRPr="000E2CBB">
        <w:rPr>
          <w:rFonts w:ascii="Palatino Linotype" w:hAnsi="Palatino Linotype" w:cs="Arial"/>
          <w:b/>
          <w:sz w:val="22"/>
          <w:szCs w:val="22"/>
          <w:u w:val="single"/>
        </w:rPr>
        <w:t>Effective Date for New Requirements</w:t>
      </w:r>
    </w:p>
    <w:p w:rsidR="000E2CBB" w:rsidRDefault="000E2CBB" w:rsidP="00B0781D">
      <w:pPr>
        <w:tabs>
          <w:tab w:val="left" w:pos="450"/>
        </w:tabs>
        <w:rPr>
          <w:rFonts w:ascii="Palatino Linotype" w:hAnsi="Palatino Linotype" w:cs="Arial"/>
          <w:sz w:val="22"/>
          <w:szCs w:val="22"/>
        </w:rPr>
      </w:pPr>
    </w:p>
    <w:p w:rsidR="00AB671D" w:rsidRDefault="00AB671D" w:rsidP="00B0781D">
      <w:pPr>
        <w:tabs>
          <w:tab w:val="left" w:pos="450"/>
        </w:tabs>
        <w:rPr>
          <w:rFonts w:ascii="Palatino Linotype" w:hAnsi="Palatino Linotype" w:cs="Arial"/>
          <w:sz w:val="22"/>
          <w:szCs w:val="22"/>
        </w:rPr>
      </w:pPr>
      <w:r>
        <w:rPr>
          <w:rFonts w:ascii="Palatino Linotype" w:hAnsi="Palatino Linotype" w:cs="Arial"/>
          <w:sz w:val="22"/>
          <w:szCs w:val="22"/>
        </w:rPr>
        <w:t>One of the remaining recommendations from the APAC that has not yet been addressed by the Planning Commission is the following:</w:t>
      </w:r>
    </w:p>
    <w:p w:rsidR="002054A3" w:rsidRDefault="002054A3" w:rsidP="00B0781D">
      <w:pPr>
        <w:tabs>
          <w:tab w:val="left" w:pos="450"/>
        </w:tabs>
        <w:rPr>
          <w:rFonts w:ascii="Palatino Linotype" w:hAnsi="Palatino Linotype" w:cs="Arial"/>
          <w:sz w:val="22"/>
          <w:szCs w:val="22"/>
        </w:rPr>
      </w:pPr>
    </w:p>
    <w:p w:rsidR="00AB671D" w:rsidRPr="00AB671D" w:rsidRDefault="00AB671D" w:rsidP="00AB671D">
      <w:pPr>
        <w:pStyle w:val="ListParagraph"/>
        <w:ind w:left="360"/>
        <w:rPr>
          <w:rFonts w:ascii="Palatino Linotype" w:hAnsi="Palatino Linotype" w:cs="Arial"/>
          <w:sz w:val="22"/>
          <w:szCs w:val="22"/>
        </w:rPr>
      </w:pPr>
      <w:r w:rsidRPr="00AB671D">
        <w:rPr>
          <w:rFonts w:ascii="Palatino Linotype" w:hAnsi="Palatino Linotype" w:cs="Arial"/>
          <w:sz w:val="22"/>
          <w:szCs w:val="22"/>
        </w:rPr>
        <w:t xml:space="preserve">Limit the implementation of the recommended new requirements for winery use permits, including maximum winery development area, small winery use permit approval processes, and hold and haul restrictions to new use permit applications for wineries submitted after January 1, 2016.  </w:t>
      </w:r>
    </w:p>
    <w:p w:rsidR="002E0F94" w:rsidRDefault="002E0F94" w:rsidP="00B0781D">
      <w:pPr>
        <w:tabs>
          <w:tab w:val="left" w:pos="450"/>
        </w:tabs>
        <w:rPr>
          <w:rFonts w:ascii="Palatino Linotype" w:hAnsi="Palatino Linotype" w:cs="Arial"/>
          <w:sz w:val="22"/>
          <w:szCs w:val="22"/>
        </w:rPr>
      </w:pPr>
    </w:p>
    <w:p w:rsidR="00AB671D" w:rsidRDefault="00AB671D" w:rsidP="00B0781D">
      <w:pPr>
        <w:tabs>
          <w:tab w:val="left" w:pos="450"/>
        </w:tabs>
        <w:rPr>
          <w:rFonts w:ascii="Palatino Linotype" w:hAnsi="Palatino Linotype" w:cs="Arial"/>
          <w:sz w:val="22"/>
          <w:szCs w:val="22"/>
        </w:rPr>
      </w:pPr>
      <w:r>
        <w:rPr>
          <w:rFonts w:ascii="Palatino Linotype" w:hAnsi="Palatino Linotype" w:cs="Arial"/>
          <w:sz w:val="22"/>
          <w:szCs w:val="22"/>
        </w:rPr>
        <w:t xml:space="preserve">One of the questions previously raised by this item is whether new zoning ordinance and/or General Plan policy changes enacted as a result of the APAC recommendations would apply to both use permits for new wineries and use permit modifications for existing wineries.  After consultation with County Counsel, staff </w:t>
      </w:r>
      <w:r w:rsidR="002054A3">
        <w:rPr>
          <w:rFonts w:ascii="Palatino Linotype" w:hAnsi="Palatino Linotype" w:cs="Arial"/>
          <w:sz w:val="22"/>
          <w:szCs w:val="22"/>
        </w:rPr>
        <w:t>believes that any new ordinances and policies will apply equally to both any new permits and modification of existing permits</w:t>
      </w:r>
      <w:r w:rsidR="00C41896">
        <w:rPr>
          <w:rFonts w:ascii="Palatino Linotype" w:hAnsi="Palatino Linotype" w:cs="Arial"/>
          <w:sz w:val="22"/>
          <w:szCs w:val="22"/>
        </w:rPr>
        <w:t xml:space="preserve"> including those of pre-WDO wineries</w:t>
      </w:r>
      <w:r w:rsidR="002054A3">
        <w:rPr>
          <w:rFonts w:ascii="Palatino Linotype" w:hAnsi="Palatino Linotype" w:cs="Arial"/>
          <w:sz w:val="22"/>
          <w:szCs w:val="22"/>
        </w:rPr>
        <w:t xml:space="preserve">.  </w:t>
      </w:r>
      <w:r w:rsidR="00C41896">
        <w:rPr>
          <w:rFonts w:ascii="Palatino Linotype" w:hAnsi="Palatino Linotype" w:cs="Arial"/>
          <w:sz w:val="22"/>
          <w:szCs w:val="22"/>
        </w:rPr>
        <w:t xml:space="preserve">The legal permitted status of wineries approved prior to the enactment of the APAC recommendations would not be affected by new ordinances and policies.  In other words, if an existing winery already exceeded a future regulation, it would not be required to come into compliance with the new standard.  However, the winery would only be allowed to expand beyond its permitted status to the extent that it conformed </w:t>
      </w:r>
      <w:proofErr w:type="gramStart"/>
      <w:r w:rsidR="00C41896">
        <w:rPr>
          <w:rFonts w:ascii="Palatino Linotype" w:hAnsi="Palatino Linotype" w:cs="Arial"/>
          <w:sz w:val="22"/>
          <w:szCs w:val="22"/>
        </w:rPr>
        <w:t>with</w:t>
      </w:r>
      <w:proofErr w:type="gramEnd"/>
      <w:r w:rsidR="00C41896">
        <w:rPr>
          <w:rFonts w:ascii="Palatino Linotype" w:hAnsi="Palatino Linotype" w:cs="Arial"/>
          <w:sz w:val="22"/>
          <w:szCs w:val="22"/>
        </w:rPr>
        <w:t xml:space="preserve"> the new requirements.  </w:t>
      </w:r>
      <w:r w:rsidR="002054A3">
        <w:rPr>
          <w:rFonts w:ascii="Palatino Linotype" w:hAnsi="Palatino Linotype" w:cs="Arial"/>
          <w:sz w:val="22"/>
          <w:szCs w:val="22"/>
        </w:rPr>
        <w:t xml:space="preserve">To be clear, these new ordinances and policies will apply to existing permits only with regards to the request made in modification: staff strongly recommends that they not apply to the legal conforming rights of existing wineries.  </w:t>
      </w:r>
    </w:p>
    <w:p w:rsidR="002054A3" w:rsidRDefault="002054A3" w:rsidP="00B0781D">
      <w:pPr>
        <w:tabs>
          <w:tab w:val="left" w:pos="450"/>
        </w:tabs>
        <w:rPr>
          <w:rFonts w:ascii="Palatino Linotype" w:hAnsi="Palatino Linotype" w:cs="Arial"/>
          <w:sz w:val="22"/>
          <w:szCs w:val="22"/>
        </w:rPr>
      </w:pPr>
    </w:p>
    <w:p w:rsidR="002054A3" w:rsidRDefault="002054A3" w:rsidP="00B0781D">
      <w:pPr>
        <w:tabs>
          <w:tab w:val="left" w:pos="450"/>
        </w:tabs>
        <w:rPr>
          <w:rFonts w:ascii="Palatino Linotype" w:hAnsi="Palatino Linotype" w:cs="Arial"/>
          <w:sz w:val="22"/>
          <w:szCs w:val="22"/>
        </w:rPr>
      </w:pPr>
      <w:r>
        <w:rPr>
          <w:rFonts w:ascii="Palatino Linotype" w:hAnsi="Palatino Linotype" w:cs="Arial"/>
          <w:sz w:val="22"/>
          <w:szCs w:val="22"/>
        </w:rPr>
        <w:t xml:space="preserve">In addition, any new ordinances and policies resulting from the APAC recommendations will likely not be enacted until late summer or autumn of 2016.  Wineries will be in the middle of harvest, which would </w:t>
      </w:r>
      <w:r w:rsidR="00C41896">
        <w:rPr>
          <w:rFonts w:ascii="Palatino Linotype" w:hAnsi="Palatino Linotype" w:cs="Arial"/>
          <w:sz w:val="22"/>
          <w:szCs w:val="22"/>
        </w:rPr>
        <w:t>make it difficult to begin immediately complying with any new requirements.  Staff believes that a more appropriate effective date would be January 1, 2017.</w:t>
      </w:r>
    </w:p>
    <w:p w:rsidR="000E2CBB" w:rsidRPr="002E0F94" w:rsidRDefault="000E2CBB" w:rsidP="00B0781D">
      <w:pPr>
        <w:tabs>
          <w:tab w:val="left" w:pos="450"/>
        </w:tabs>
        <w:rPr>
          <w:rFonts w:ascii="Palatino Linotype" w:hAnsi="Palatino Linotype" w:cs="Arial"/>
          <w:b/>
          <w:sz w:val="22"/>
          <w:szCs w:val="22"/>
          <w:u w:val="single"/>
        </w:rPr>
      </w:pPr>
      <w:r>
        <w:rPr>
          <w:rFonts w:ascii="Palatino Linotype" w:hAnsi="Palatino Linotype" w:cs="Arial"/>
          <w:sz w:val="22"/>
          <w:szCs w:val="22"/>
        </w:rPr>
        <w:br/>
      </w:r>
      <w:r w:rsidRPr="002E0F94">
        <w:rPr>
          <w:rFonts w:ascii="Palatino Linotype" w:hAnsi="Palatino Linotype" w:cs="Arial"/>
          <w:b/>
          <w:sz w:val="22"/>
          <w:szCs w:val="22"/>
          <w:u w:val="single"/>
        </w:rPr>
        <w:t>Sonoma County Winery Regulation Comparison Chart</w:t>
      </w:r>
    </w:p>
    <w:p w:rsidR="000E2CBB" w:rsidRDefault="000E2CBB" w:rsidP="00B0781D">
      <w:pPr>
        <w:tabs>
          <w:tab w:val="left" w:pos="450"/>
        </w:tabs>
        <w:rPr>
          <w:rFonts w:ascii="Palatino Linotype" w:hAnsi="Palatino Linotype" w:cs="Arial"/>
          <w:sz w:val="22"/>
          <w:szCs w:val="22"/>
        </w:rPr>
      </w:pPr>
    </w:p>
    <w:p w:rsidR="002E0F94" w:rsidRDefault="002E0F94" w:rsidP="00B0781D">
      <w:pPr>
        <w:tabs>
          <w:tab w:val="left" w:pos="450"/>
        </w:tabs>
        <w:rPr>
          <w:rFonts w:ascii="Palatino Linotype" w:hAnsi="Palatino Linotype" w:cs="Arial"/>
          <w:sz w:val="22"/>
          <w:szCs w:val="22"/>
        </w:rPr>
      </w:pPr>
      <w:r>
        <w:rPr>
          <w:rFonts w:ascii="Palatino Linotype" w:hAnsi="Palatino Linotype" w:cs="Arial"/>
          <w:sz w:val="22"/>
          <w:szCs w:val="22"/>
        </w:rPr>
        <w:t>An updated chart prepared by Sonoma County, comparing winery land use regulations in counties throughout California, is included with this memo.</w:t>
      </w:r>
    </w:p>
    <w:p w:rsidR="002E0F94" w:rsidRDefault="002E0F94" w:rsidP="00B0781D">
      <w:pPr>
        <w:tabs>
          <w:tab w:val="left" w:pos="450"/>
        </w:tabs>
        <w:rPr>
          <w:rFonts w:ascii="Palatino Linotype" w:hAnsi="Palatino Linotype" w:cs="Arial"/>
          <w:sz w:val="22"/>
          <w:szCs w:val="22"/>
        </w:rPr>
      </w:pPr>
    </w:p>
    <w:p w:rsidR="007E1EB1" w:rsidRDefault="007E1EB1" w:rsidP="00B0781D">
      <w:pPr>
        <w:tabs>
          <w:tab w:val="left" w:pos="450"/>
        </w:tabs>
        <w:rPr>
          <w:rFonts w:ascii="Palatino Linotype" w:hAnsi="Palatino Linotype" w:cs="Arial"/>
          <w:sz w:val="22"/>
          <w:szCs w:val="22"/>
        </w:rPr>
      </w:pPr>
    </w:p>
    <w:p w:rsidR="000E2CBB" w:rsidRPr="00ED5617" w:rsidRDefault="000E2CBB" w:rsidP="00074F5B">
      <w:pPr>
        <w:rPr>
          <w:rFonts w:ascii="Palatino Linotype" w:hAnsi="Palatino Linotype" w:cs="Arial"/>
          <w:b/>
          <w:sz w:val="22"/>
          <w:szCs w:val="22"/>
          <w:u w:val="single"/>
        </w:rPr>
      </w:pPr>
      <w:r w:rsidRPr="00ED5617">
        <w:rPr>
          <w:rFonts w:ascii="Palatino Linotype" w:hAnsi="Palatino Linotype" w:cs="Arial"/>
          <w:b/>
          <w:sz w:val="22"/>
          <w:szCs w:val="22"/>
          <w:u w:val="single"/>
        </w:rPr>
        <w:lastRenderedPageBreak/>
        <w:t>Winery Approval Chronology</w:t>
      </w:r>
    </w:p>
    <w:p w:rsidR="00074F5B" w:rsidRDefault="00074F5B" w:rsidP="00074F5B">
      <w:pPr>
        <w:rPr>
          <w:rFonts w:ascii="Palatino Linotype" w:hAnsi="Palatino Linotype" w:cs="Arial"/>
          <w:sz w:val="22"/>
          <w:szCs w:val="22"/>
        </w:rPr>
      </w:pPr>
    </w:p>
    <w:p w:rsidR="00ED5617" w:rsidRDefault="00ED5617" w:rsidP="00074F5B">
      <w:pPr>
        <w:rPr>
          <w:rFonts w:ascii="Palatino Linotype" w:hAnsi="Palatino Linotype" w:cs="Arial"/>
          <w:sz w:val="22"/>
          <w:szCs w:val="22"/>
        </w:rPr>
      </w:pPr>
      <w:r>
        <w:rPr>
          <w:rFonts w:ascii="Palatino Linotype" w:hAnsi="Palatino Linotype" w:cs="Arial"/>
          <w:sz w:val="22"/>
          <w:szCs w:val="22"/>
        </w:rPr>
        <w:t>The Planning Commission has asked to be annually updated on various metrics as they relate to the wine industry, including:</w:t>
      </w:r>
    </w:p>
    <w:p w:rsidR="00ED5617" w:rsidRDefault="00ED5617" w:rsidP="007E1EB1">
      <w:pPr>
        <w:pStyle w:val="ListParagraph"/>
        <w:numPr>
          <w:ilvl w:val="0"/>
          <w:numId w:val="1"/>
        </w:numPr>
        <w:ind w:left="540" w:hanging="540"/>
        <w:rPr>
          <w:rFonts w:ascii="Palatino Linotype" w:hAnsi="Palatino Linotype" w:cs="Arial"/>
          <w:sz w:val="22"/>
          <w:szCs w:val="22"/>
        </w:rPr>
      </w:pPr>
      <w:r>
        <w:rPr>
          <w:rFonts w:ascii="Palatino Linotype" w:hAnsi="Palatino Linotype" w:cs="Arial"/>
          <w:sz w:val="22"/>
          <w:szCs w:val="22"/>
        </w:rPr>
        <w:t>A</w:t>
      </w:r>
      <w:r w:rsidRPr="00ED5617">
        <w:rPr>
          <w:rFonts w:ascii="Palatino Linotype" w:hAnsi="Palatino Linotype" w:cs="Arial"/>
          <w:sz w:val="22"/>
          <w:szCs w:val="22"/>
        </w:rPr>
        <w:t>vera</w:t>
      </w:r>
      <w:r>
        <w:rPr>
          <w:rFonts w:ascii="Palatino Linotype" w:hAnsi="Palatino Linotype" w:cs="Arial"/>
          <w:sz w:val="22"/>
          <w:szCs w:val="22"/>
        </w:rPr>
        <w:t xml:space="preserve">ge and median calculations for groups </w:t>
      </w:r>
      <w:r w:rsidRPr="00ED5617">
        <w:rPr>
          <w:rFonts w:ascii="Palatino Linotype" w:hAnsi="Palatino Linotype" w:cs="Arial"/>
          <w:sz w:val="22"/>
          <w:szCs w:val="22"/>
        </w:rPr>
        <w:t xml:space="preserve">of wineries based on production </w:t>
      </w:r>
      <w:r>
        <w:rPr>
          <w:rFonts w:ascii="Palatino Linotype" w:hAnsi="Palatino Linotype" w:cs="Arial"/>
          <w:sz w:val="22"/>
          <w:szCs w:val="22"/>
        </w:rPr>
        <w:t>level;</w:t>
      </w:r>
    </w:p>
    <w:p w:rsidR="00ED5617" w:rsidRDefault="00ED5617" w:rsidP="007E1EB1">
      <w:pPr>
        <w:pStyle w:val="ListParagraph"/>
        <w:numPr>
          <w:ilvl w:val="0"/>
          <w:numId w:val="1"/>
        </w:numPr>
        <w:ind w:left="540" w:hanging="540"/>
        <w:rPr>
          <w:rFonts w:ascii="Palatino Linotype" w:hAnsi="Palatino Linotype" w:cs="Arial"/>
          <w:sz w:val="22"/>
          <w:szCs w:val="22"/>
        </w:rPr>
      </w:pPr>
      <w:r>
        <w:rPr>
          <w:rFonts w:ascii="Palatino Linotype" w:hAnsi="Palatino Linotype" w:cs="Arial"/>
          <w:sz w:val="22"/>
          <w:szCs w:val="22"/>
        </w:rPr>
        <w:t xml:space="preserve">Annual and cumulative </w:t>
      </w:r>
      <w:r w:rsidRPr="00ED5617">
        <w:rPr>
          <w:rFonts w:ascii="Palatino Linotype" w:hAnsi="Palatino Linotype" w:cs="Arial"/>
          <w:sz w:val="22"/>
          <w:szCs w:val="22"/>
        </w:rPr>
        <w:t xml:space="preserve">loss of </w:t>
      </w:r>
      <w:r>
        <w:rPr>
          <w:rFonts w:ascii="Palatino Linotype" w:hAnsi="Palatino Linotype" w:cs="Arial"/>
          <w:sz w:val="22"/>
          <w:szCs w:val="22"/>
        </w:rPr>
        <w:t xml:space="preserve">both </w:t>
      </w:r>
      <w:r w:rsidRPr="00ED5617">
        <w:rPr>
          <w:rFonts w:ascii="Palatino Linotype" w:hAnsi="Palatino Linotype" w:cs="Arial"/>
          <w:sz w:val="22"/>
          <w:szCs w:val="22"/>
        </w:rPr>
        <w:t>vineyards and farmland</w:t>
      </w:r>
    </w:p>
    <w:p w:rsidR="00ED5617" w:rsidRDefault="00ED5617" w:rsidP="007E1EB1">
      <w:pPr>
        <w:pStyle w:val="ListParagraph"/>
        <w:numPr>
          <w:ilvl w:val="0"/>
          <w:numId w:val="1"/>
        </w:numPr>
        <w:ind w:left="540" w:hanging="540"/>
        <w:rPr>
          <w:rFonts w:ascii="Palatino Linotype" w:hAnsi="Palatino Linotype" w:cs="Arial"/>
          <w:sz w:val="22"/>
          <w:szCs w:val="22"/>
        </w:rPr>
      </w:pPr>
      <w:r>
        <w:rPr>
          <w:rFonts w:ascii="Palatino Linotype" w:hAnsi="Palatino Linotype" w:cs="Arial"/>
          <w:sz w:val="22"/>
          <w:szCs w:val="22"/>
        </w:rPr>
        <w:t>T</w:t>
      </w:r>
      <w:r w:rsidRPr="00ED5617">
        <w:rPr>
          <w:rFonts w:ascii="Palatino Linotype" w:hAnsi="Palatino Linotype" w:cs="Arial"/>
          <w:sz w:val="22"/>
          <w:szCs w:val="22"/>
        </w:rPr>
        <w:t>otal permitted and actual wine production</w:t>
      </w:r>
    </w:p>
    <w:p w:rsidR="00ED5617" w:rsidRDefault="00ED5617" w:rsidP="007E1EB1">
      <w:pPr>
        <w:pStyle w:val="ListParagraph"/>
        <w:numPr>
          <w:ilvl w:val="0"/>
          <w:numId w:val="1"/>
        </w:numPr>
        <w:ind w:left="540" w:hanging="540"/>
        <w:rPr>
          <w:rFonts w:ascii="Palatino Linotype" w:hAnsi="Palatino Linotype" w:cs="Arial"/>
          <w:sz w:val="22"/>
          <w:szCs w:val="22"/>
        </w:rPr>
      </w:pPr>
      <w:r>
        <w:rPr>
          <w:rFonts w:ascii="Palatino Linotype" w:hAnsi="Palatino Linotype" w:cs="Arial"/>
          <w:sz w:val="22"/>
          <w:szCs w:val="22"/>
        </w:rPr>
        <w:t>Total percentage of local grapes used in local wine production.</w:t>
      </w:r>
    </w:p>
    <w:p w:rsidR="00ED5617" w:rsidRDefault="00ED5617" w:rsidP="00ED5617">
      <w:pPr>
        <w:rPr>
          <w:rFonts w:ascii="Palatino Linotype" w:hAnsi="Palatino Linotype" w:cs="Arial"/>
          <w:sz w:val="22"/>
          <w:szCs w:val="22"/>
        </w:rPr>
      </w:pPr>
    </w:p>
    <w:p w:rsidR="00ED5617" w:rsidRPr="00ED5617" w:rsidRDefault="00ED5617" w:rsidP="00ED5617">
      <w:pPr>
        <w:rPr>
          <w:rFonts w:ascii="Palatino Linotype" w:hAnsi="Palatino Linotype" w:cs="Arial"/>
          <w:sz w:val="22"/>
          <w:szCs w:val="22"/>
        </w:rPr>
      </w:pPr>
      <w:r>
        <w:rPr>
          <w:rFonts w:ascii="Palatino Linotype" w:hAnsi="Palatino Linotype" w:cs="Arial"/>
          <w:sz w:val="22"/>
          <w:szCs w:val="22"/>
        </w:rPr>
        <w:t xml:space="preserve">In addition, the Commission has asked for an ongoing tally of winery use permit approvals.  That chronology is attached to this memo.  </w:t>
      </w:r>
      <w:r w:rsidR="002E0F94">
        <w:rPr>
          <w:rFonts w:ascii="Palatino Linotype" w:hAnsi="Palatino Linotype" w:cs="Arial"/>
          <w:sz w:val="22"/>
          <w:szCs w:val="22"/>
        </w:rPr>
        <w:t>A summary of the data, organized by year, is provided below</w:t>
      </w:r>
    </w:p>
    <w:p w:rsidR="00ED5617" w:rsidRDefault="00ED5617" w:rsidP="00074F5B">
      <w:pPr>
        <w:rPr>
          <w:rFonts w:ascii="Palatino Linotype" w:hAnsi="Palatino Linotype" w:cs="Arial"/>
          <w:sz w:val="22"/>
          <w:szCs w:val="22"/>
        </w:rPr>
      </w:pPr>
    </w:p>
    <w:tbl>
      <w:tblPr>
        <w:tblW w:w="13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364"/>
        <w:gridCol w:w="1800"/>
        <w:gridCol w:w="2250"/>
        <w:gridCol w:w="2340"/>
        <w:gridCol w:w="2340"/>
        <w:gridCol w:w="1530"/>
      </w:tblGrid>
      <w:tr w:rsidR="00074F5B" w:rsidRPr="00FD50EB" w:rsidTr="00FD50EB">
        <w:trPr>
          <w:trHeight w:val="300"/>
        </w:trPr>
        <w:tc>
          <w:tcPr>
            <w:tcW w:w="1516" w:type="dxa"/>
            <w:shd w:val="clear" w:color="auto" w:fill="D9D9D9" w:themeFill="background1" w:themeFillShade="D9"/>
            <w:noWrap/>
            <w:vAlign w:val="bottom"/>
            <w:hideMark/>
          </w:tcPr>
          <w:p w:rsidR="00074F5B" w:rsidRPr="00FD50EB" w:rsidRDefault="00074F5B" w:rsidP="00AB671D">
            <w:pPr>
              <w:jc w:val="center"/>
              <w:rPr>
                <w:rFonts w:ascii="Palatino Linotype" w:hAnsi="Palatino Linotype"/>
                <w:b/>
                <w:color w:val="000000"/>
                <w:sz w:val="22"/>
                <w:szCs w:val="22"/>
              </w:rPr>
            </w:pPr>
          </w:p>
        </w:tc>
        <w:tc>
          <w:tcPr>
            <w:tcW w:w="1364" w:type="dxa"/>
            <w:shd w:val="clear" w:color="auto" w:fill="D9D9D9" w:themeFill="background1" w:themeFillShade="D9"/>
            <w:noWrap/>
            <w:vAlign w:val="bottom"/>
            <w:hideMark/>
          </w:tcPr>
          <w:p w:rsidR="00074F5B" w:rsidRPr="00FD50EB" w:rsidRDefault="00074F5B" w:rsidP="00AB671D">
            <w:pPr>
              <w:jc w:val="center"/>
              <w:rPr>
                <w:rFonts w:ascii="Palatino Linotype" w:hAnsi="Palatino Linotype"/>
                <w:b/>
                <w:color w:val="000000"/>
                <w:sz w:val="22"/>
                <w:szCs w:val="22"/>
              </w:rPr>
            </w:pPr>
            <w:r w:rsidRPr="00FD50EB">
              <w:rPr>
                <w:rFonts w:ascii="Palatino Linotype" w:hAnsi="Palatino Linotype"/>
                <w:b/>
                <w:color w:val="000000"/>
                <w:sz w:val="22"/>
                <w:szCs w:val="22"/>
              </w:rPr>
              <w:t>New</w:t>
            </w:r>
            <w:r w:rsidR="00FD50EB">
              <w:rPr>
                <w:rFonts w:ascii="Palatino Linotype" w:hAnsi="Palatino Linotype"/>
                <w:b/>
                <w:color w:val="000000"/>
                <w:sz w:val="22"/>
                <w:szCs w:val="22"/>
              </w:rPr>
              <w:t xml:space="preserve"> Permits</w:t>
            </w:r>
          </w:p>
        </w:tc>
        <w:tc>
          <w:tcPr>
            <w:tcW w:w="1800" w:type="dxa"/>
            <w:shd w:val="clear" w:color="auto" w:fill="D9D9D9" w:themeFill="background1" w:themeFillShade="D9"/>
            <w:noWrap/>
            <w:vAlign w:val="bottom"/>
            <w:hideMark/>
          </w:tcPr>
          <w:p w:rsidR="00074F5B" w:rsidRPr="00FD50EB" w:rsidRDefault="00FD50EB" w:rsidP="00AB671D">
            <w:pPr>
              <w:jc w:val="center"/>
              <w:rPr>
                <w:rFonts w:ascii="Palatino Linotype" w:hAnsi="Palatino Linotype"/>
                <w:b/>
                <w:color w:val="000000"/>
                <w:sz w:val="22"/>
                <w:szCs w:val="22"/>
              </w:rPr>
            </w:pPr>
            <w:r>
              <w:rPr>
                <w:rFonts w:ascii="Palatino Linotype" w:hAnsi="Palatino Linotype"/>
                <w:b/>
                <w:color w:val="000000"/>
                <w:sz w:val="22"/>
                <w:szCs w:val="22"/>
              </w:rPr>
              <w:t xml:space="preserve">Permit </w:t>
            </w:r>
            <w:r w:rsidR="00074F5B" w:rsidRPr="00FD50EB">
              <w:rPr>
                <w:rFonts w:ascii="Palatino Linotype" w:hAnsi="Palatino Linotype"/>
                <w:b/>
                <w:color w:val="000000"/>
                <w:sz w:val="22"/>
                <w:szCs w:val="22"/>
              </w:rPr>
              <w:t>Mod</w:t>
            </w:r>
            <w:r>
              <w:rPr>
                <w:rFonts w:ascii="Palatino Linotype" w:hAnsi="Palatino Linotype"/>
                <w:b/>
                <w:color w:val="000000"/>
                <w:sz w:val="22"/>
                <w:szCs w:val="22"/>
              </w:rPr>
              <w:t>ifications</w:t>
            </w:r>
          </w:p>
        </w:tc>
        <w:tc>
          <w:tcPr>
            <w:tcW w:w="2250" w:type="dxa"/>
            <w:shd w:val="clear" w:color="auto" w:fill="D9D9D9" w:themeFill="background1" w:themeFillShade="D9"/>
            <w:noWrap/>
            <w:vAlign w:val="bottom"/>
            <w:hideMark/>
          </w:tcPr>
          <w:p w:rsidR="00074F5B" w:rsidRPr="00FD50EB" w:rsidRDefault="00F078A8" w:rsidP="00AB671D">
            <w:pPr>
              <w:jc w:val="center"/>
              <w:rPr>
                <w:rFonts w:ascii="Palatino Linotype" w:hAnsi="Palatino Linotype"/>
                <w:b/>
                <w:color w:val="000000"/>
                <w:sz w:val="22"/>
                <w:szCs w:val="22"/>
              </w:rPr>
            </w:pPr>
            <w:r w:rsidRPr="00FD50EB">
              <w:rPr>
                <w:rFonts w:ascii="Palatino Linotype" w:hAnsi="Palatino Linotype"/>
                <w:b/>
                <w:color w:val="000000"/>
                <w:sz w:val="22"/>
                <w:szCs w:val="22"/>
              </w:rPr>
              <w:t>Production</w:t>
            </w:r>
            <w:r w:rsidR="00074F5B" w:rsidRPr="00FD50EB">
              <w:rPr>
                <w:rFonts w:ascii="Palatino Linotype" w:hAnsi="Palatino Linotype"/>
                <w:b/>
                <w:color w:val="000000"/>
                <w:sz w:val="22"/>
                <w:szCs w:val="22"/>
              </w:rPr>
              <w:t xml:space="preserve"> Increase</w:t>
            </w:r>
          </w:p>
        </w:tc>
        <w:tc>
          <w:tcPr>
            <w:tcW w:w="2340" w:type="dxa"/>
            <w:shd w:val="clear" w:color="auto" w:fill="D9D9D9" w:themeFill="background1" w:themeFillShade="D9"/>
            <w:noWrap/>
            <w:vAlign w:val="bottom"/>
            <w:hideMark/>
          </w:tcPr>
          <w:p w:rsidR="00074F5B" w:rsidRPr="00FD50EB" w:rsidRDefault="00074F5B" w:rsidP="00AB671D">
            <w:pPr>
              <w:jc w:val="center"/>
              <w:rPr>
                <w:rFonts w:ascii="Palatino Linotype" w:hAnsi="Palatino Linotype"/>
                <w:b/>
                <w:color w:val="000000"/>
                <w:sz w:val="22"/>
                <w:szCs w:val="22"/>
              </w:rPr>
            </w:pPr>
            <w:r w:rsidRPr="00FD50EB">
              <w:rPr>
                <w:rFonts w:ascii="Palatino Linotype" w:hAnsi="Palatino Linotype"/>
                <w:b/>
                <w:color w:val="000000"/>
                <w:sz w:val="22"/>
                <w:szCs w:val="22"/>
              </w:rPr>
              <w:t>Tasting Visitor Increase</w:t>
            </w:r>
          </w:p>
        </w:tc>
        <w:tc>
          <w:tcPr>
            <w:tcW w:w="2340" w:type="dxa"/>
            <w:shd w:val="clear" w:color="auto" w:fill="D9D9D9" w:themeFill="background1" w:themeFillShade="D9"/>
            <w:noWrap/>
            <w:vAlign w:val="bottom"/>
            <w:hideMark/>
          </w:tcPr>
          <w:p w:rsidR="00074F5B" w:rsidRPr="00FD50EB" w:rsidRDefault="00074F5B" w:rsidP="00AB671D">
            <w:pPr>
              <w:jc w:val="center"/>
              <w:rPr>
                <w:rFonts w:ascii="Palatino Linotype" w:hAnsi="Palatino Linotype"/>
                <w:b/>
                <w:color w:val="000000"/>
                <w:sz w:val="22"/>
                <w:szCs w:val="22"/>
              </w:rPr>
            </w:pPr>
            <w:r w:rsidRPr="00FD50EB">
              <w:rPr>
                <w:rFonts w:ascii="Palatino Linotype" w:hAnsi="Palatino Linotype"/>
                <w:b/>
                <w:color w:val="000000"/>
                <w:sz w:val="22"/>
                <w:szCs w:val="22"/>
              </w:rPr>
              <w:t>Marketing Visitor  Increase</w:t>
            </w:r>
          </w:p>
        </w:tc>
        <w:tc>
          <w:tcPr>
            <w:tcW w:w="1530" w:type="dxa"/>
            <w:shd w:val="clear" w:color="auto" w:fill="D9D9D9" w:themeFill="background1" w:themeFillShade="D9"/>
            <w:noWrap/>
            <w:vAlign w:val="bottom"/>
            <w:hideMark/>
          </w:tcPr>
          <w:p w:rsidR="00074F5B" w:rsidRPr="00FD50EB" w:rsidRDefault="00074F5B" w:rsidP="00AB671D">
            <w:pPr>
              <w:jc w:val="center"/>
              <w:rPr>
                <w:rFonts w:ascii="Palatino Linotype" w:hAnsi="Palatino Linotype"/>
                <w:b/>
                <w:color w:val="000000"/>
                <w:sz w:val="22"/>
                <w:szCs w:val="22"/>
              </w:rPr>
            </w:pPr>
            <w:r w:rsidRPr="00FD50EB">
              <w:rPr>
                <w:rFonts w:ascii="Palatino Linotype" w:hAnsi="Palatino Linotype"/>
                <w:b/>
                <w:color w:val="000000"/>
                <w:sz w:val="22"/>
                <w:szCs w:val="22"/>
              </w:rPr>
              <w:t xml:space="preserve">Variances </w:t>
            </w:r>
          </w:p>
        </w:tc>
      </w:tr>
      <w:tr w:rsidR="00074F5B" w:rsidRPr="00FD50EB" w:rsidTr="00FD50EB">
        <w:trPr>
          <w:trHeight w:val="300"/>
        </w:trPr>
        <w:tc>
          <w:tcPr>
            <w:tcW w:w="1516" w:type="dxa"/>
            <w:shd w:val="clear" w:color="auto" w:fill="F2F2F2" w:themeFill="background1" w:themeFillShade="F2"/>
            <w:noWrap/>
            <w:vAlign w:val="bottom"/>
            <w:hideMark/>
          </w:tcPr>
          <w:p w:rsidR="005230E7" w:rsidRPr="00FD50EB" w:rsidRDefault="005230E7">
            <w:pPr>
              <w:jc w:val="center"/>
              <w:rPr>
                <w:rFonts w:ascii="Palatino Linotype" w:hAnsi="Palatino Linotype"/>
                <w:b/>
                <w:color w:val="000000"/>
                <w:sz w:val="22"/>
                <w:szCs w:val="22"/>
              </w:rPr>
            </w:pPr>
            <w:r w:rsidRPr="00FD50EB">
              <w:rPr>
                <w:rFonts w:ascii="Palatino Linotype" w:hAnsi="Palatino Linotype"/>
                <w:b/>
                <w:color w:val="000000"/>
                <w:sz w:val="22"/>
                <w:szCs w:val="22"/>
              </w:rPr>
              <w:t>2015</w:t>
            </w:r>
          </w:p>
        </w:tc>
        <w:tc>
          <w:tcPr>
            <w:tcW w:w="1364"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4</w:t>
            </w:r>
          </w:p>
        </w:tc>
        <w:tc>
          <w:tcPr>
            <w:tcW w:w="180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6</w:t>
            </w:r>
          </w:p>
        </w:tc>
        <w:tc>
          <w:tcPr>
            <w:tcW w:w="225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345,700</w:t>
            </w:r>
          </w:p>
        </w:tc>
        <w:tc>
          <w:tcPr>
            <w:tcW w:w="234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222,204</w:t>
            </w:r>
          </w:p>
        </w:tc>
        <w:tc>
          <w:tcPr>
            <w:tcW w:w="234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13,702</w:t>
            </w:r>
          </w:p>
        </w:tc>
        <w:tc>
          <w:tcPr>
            <w:tcW w:w="153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1</w:t>
            </w:r>
          </w:p>
        </w:tc>
      </w:tr>
      <w:tr w:rsidR="00074F5B" w:rsidRPr="00FD50EB" w:rsidTr="00FD50EB">
        <w:trPr>
          <w:trHeight w:val="300"/>
        </w:trPr>
        <w:tc>
          <w:tcPr>
            <w:tcW w:w="1516" w:type="dxa"/>
            <w:shd w:val="clear" w:color="auto" w:fill="F2F2F2" w:themeFill="background1" w:themeFillShade="F2"/>
            <w:noWrap/>
            <w:vAlign w:val="bottom"/>
            <w:hideMark/>
          </w:tcPr>
          <w:p w:rsidR="005230E7" w:rsidRPr="00FD50EB" w:rsidRDefault="005230E7">
            <w:pPr>
              <w:jc w:val="center"/>
              <w:rPr>
                <w:rFonts w:ascii="Palatino Linotype" w:hAnsi="Palatino Linotype"/>
                <w:b/>
                <w:color w:val="000000"/>
                <w:sz w:val="22"/>
                <w:szCs w:val="22"/>
              </w:rPr>
            </w:pPr>
            <w:r w:rsidRPr="00FD50EB">
              <w:rPr>
                <w:rFonts w:ascii="Palatino Linotype" w:hAnsi="Palatino Linotype"/>
                <w:b/>
                <w:color w:val="000000"/>
                <w:sz w:val="22"/>
                <w:szCs w:val="22"/>
              </w:rPr>
              <w:t>2014</w:t>
            </w:r>
          </w:p>
        </w:tc>
        <w:tc>
          <w:tcPr>
            <w:tcW w:w="1364"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7</w:t>
            </w:r>
          </w:p>
        </w:tc>
        <w:tc>
          <w:tcPr>
            <w:tcW w:w="180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8</w:t>
            </w:r>
          </w:p>
        </w:tc>
        <w:tc>
          <w:tcPr>
            <w:tcW w:w="225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530,800</w:t>
            </w:r>
          </w:p>
        </w:tc>
        <w:tc>
          <w:tcPr>
            <w:tcW w:w="234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201,070</w:t>
            </w:r>
          </w:p>
        </w:tc>
        <w:tc>
          <w:tcPr>
            <w:tcW w:w="234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19,627</w:t>
            </w:r>
          </w:p>
        </w:tc>
        <w:tc>
          <w:tcPr>
            <w:tcW w:w="153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6</w:t>
            </w:r>
          </w:p>
        </w:tc>
      </w:tr>
      <w:tr w:rsidR="00074F5B" w:rsidRPr="00FD50EB" w:rsidTr="00FD50EB">
        <w:trPr>
          <w:trHeight w:val="300"/>
        </w:trPr>
        <w:tc>
          <w:tcPr>
            <w:tcW w:w="1516" w:type="dxa"/>
            <w:shd w:val="clear" w:color="auto" w:fill="F2F2F2" w:themeFill="background1" w:themeFillShade="F2"/>
            <w:noWrap/>
            <w:vAlign w:val="bottom"/>
            <w:hideMark/>
          </w:tcPr>
          <w:p w:rsidR="005230E7" w:rsidRPr="00FD50EB" w:rsidRDefault="005230E7">
            <w:pPr>
              <w:jc w:val="center"/>
              <w:rPr>
                <w:rFonts w:ascii="Palatino Linotype" w:hAnsi="Palatino Linotype"/>
                <w:b/>
                <w:color w:val="000000"/>
                <w:sz w:val="22"/>
                <w:szCs w:val="22"/>
              </w:rPr>
            </w:pPr>
            <w:r w:rsidRPr="00FD50EB">
              <w:rPr>
                <w:rFonts w:ascii="Palatino Linotype" w:hAnsi="Palatino Linotype"/>
                <w:b/>
                <w:color w:val="000000"/>
                <w:sz w:val="22"/>
                <w:szCs w:val="22"/>
              </w:rPr>
              <w:t>2013</w:t>
            </w:r>
          </w:p>
        </w:tc>
        <w:tc>
          <w:tcPr>
            <w:tcW w:w="1364"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7</w:t>
            </w:r>
          </w:p>
        </w:tc>
        <w:tc>
          <w:tcPr>
            <w:tcW w:w="180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17</w:t>
            </w:r>
          </w:p>
        </w:tc>
        <w:tc>
          <w:tcPr>
            <w:tcW w:w="225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648,500</w:t>
            </w:r>
          </w:p>
        </w:tc>
        <w:tc>
          <w:tcPr>
            <w:tcW w:w="234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224,112</w:t>
            </w:r>
          </w:p>
        </w:tc>
        <w:tc>
          <w:tcPr>
            <w:tcW w:w="234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18,947</w:t>
            </w:r>
          </w:p>
        </w:tc>
        <w:tc>
          <w:tcPr>
            <w:tcW w:w="153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3</w:t>
            </w:r>
          </w:p>
        </w:tc>
      </w:tr>
      <w:tr w:rsidR="00074F5B" w:rsidRPr="00FD50EB" w:rsidTr="00FD50EB">
        <w:trPr>
          <w:trHeight w:val="300"/>
        </w:trPr>
        <w:tc>
          <w:tcPr>
            <w:tcW w:w="1516" w:type="dxa"/>
            <w:shd w:val="clear" w:color="auto" w:fill="F2F2F2" w:themeFill="background1" w:themeFillShade="F2"/>
            <w:noWrap/>
            <w:vAlign w:val="bottom"/>
            <w:hideMark/>
          </w:tcPr>
          <w:p w:rsidR="005230E7" w:rsidRPr="00FD50EB" w:rsidRDefault="005230E7">
            <w:pPr>
              <w:jc w:val="center"/>
              <w:rPr>
                <w:rFonts w:ascii="Palatino Linotype" w:hAnsi="Palatino Linotype"/>
                <w:b/>
                <w:color w:val="000000"/>
                <w:sz w:val="22"/>
                <w:szCs w:val="22"/>
              </w:rPr>
            </w:pPr>
            <w:r w:rsidRPr="00FD50EB">
              <w:rPr>
                <w:rFonts w:ascii="Palatino Linotype" w:hAnsi="Palatino Linotype"/>
                <w:b/>
                <w:color w:val="000000"/>
                <w:sz w:val="22"/>
                <w:szCs w:val="22"/>
              </w:rPr>
              <w:t>2012</w:t>
            </w:r>
          </w:p>
        </w:tc>
        <w:tc>
          <w:tcPr>
            <w:tcW w:w="1364"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5</w:t>
            </w:r>
          </w:p>
        </w:tc>
        <w:tc>
          <w:tcPr>
            <w:tcW w:w="180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9</w:t>
            </w:r>
          </w:p>
        </w:tc>
        <w:tc>
          <w:tcPr>
            <w:tcW w:w="225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940,000</w:t>
            </w:r>
          </w:p>
        </w:tc>
        <w:tc>
          <w:tcPr>
            <w:tcW w:w="234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259,411</w:t>
            </w:r>
          </w:p>
        </w:tc>
        <w:tc>
          <w:tcPr>
            <w:tcW w:w="234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16,651</w:t>
            </w:r>
          </w:p>
        </w:tc>
        <w:tc>
          <w:tcPr>
            <w:tcW w:w="153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2</w:t>
            </w:r>
          </w:p>
        </w:tc>
      </w:tr>
      <w:tr w:rsidR="00074F5B" w:rsidRPr="00FD50EB" w:rsidTr="00FD50EB">
        <w:trPr>
          <w:trHeight w:val="300"/>
        </w:trPr>
        <w:tc>
          <w:tcPr>
            <w:tcW w:w="1516" w:type="dxa"/>
            <w:shd w:val="clear" w:color="auto" w:fill="F2F2F2" w:themeFill="background1" w:themeFillShade="F2"/>
            <w:noWrap/>
            <w:vAlign w:val="bottom"/>
            <w:hideMark/>
          </w:tcPr>
          <w:p w:rsidR="005230E7" w:rsidRPr="00FD50EB" w:rsidRDefault="005230E7">
            <w:pPr>
              <w:jc w:val="center"/>
              <w:rPr>
                <w:rFonts w:ascii="Palatino Linotype" w:hAnsi="Palatino Linotype"/>
                <w:b/>
                <w:color w:val="000000"/>
                <w:sz w:val="22"/>
                <w:szCs w:val="22"/>
              </w:rPr>
            </w:pPr>
            <w:r w:rsidRPr="00FD50EB">
              <w:rPr>
                <w:rFonts w:ascii="Palatino Linotype" w:hAnsi="Palatino Linotype"/>
                <w:b/>
                <w:color w:val="000000"/>
                <w:sz w:val="22"/>
                <w:szCs w:val="22"/>
              </w:rPr>
              <w:t>2011</w:t>
            </w:r>
          </w:p>
        </w:tc>
        <w:tc>
          <w:tcPr>
            <w:tcW w:w="1364"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5</w:t>
            </w:r>
          </w:p>
        </w:tc>
        <w:tc>
          <w:tcPr>
            <w:tcW w:w="180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8</w:t>
            </w:r>
          </w:p>
        </w:tc>
        <w:tc>
          <w:tcPr>
            <w:tcW w:w="225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349,800</w:t>
            </w:r>
          </w:p>
        </w:tc>
        <w:tc>
          <w:tcPr>
            <w:tcW w:w="234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218,458</w:t>
            </w:r>
          </w:p>
        </w:tc>
        <w:tc>
          <w:tcPr>
            <w:tcW w:w="234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21,283</w:t>
            </w:r>
          </w:p>
        </w:tc>
        <w:tc>
          <w:tcPr>
            <w:tcW w:w="153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1</w:t>
            </w:r>
          </w:p>
        </w:tc>
      </w:tr>
      <w:tr w:rsidR="00074F5B" w:rsidRPr="00FD50EB" w:rsidTr="00FD50EB">
        <w:trPr>
          <w:trHeight w:val="300"/>
        </w:trPr>
        <w:tc>
          <w:tcPr>
            <w:tcW w:w="1516" w:type="dxa"/>
            <w:shd w:val="clear" w:color="auto" w:fill="F2F2F2" w:themeFill="background1" w:themeFillShade="F2"/>
            <w:noWrap/>
            <w:vAlign w:val="bottom"/>
            <w:hideMark/>
          </w:tcPr>
          <w:p w:rsidR="005230E7" w:rsidRPr="00FD50EB" w:rsidRDefault="005230E7">
            <w:pPr>
              <w:jc w:val="center"/>
              <w:rPr>
                <w:rFonts w:ascii="Palatino Linotype" w:hAnsi="Palatino Linotype"/>
                <w:b/>
                <w:color w:val="000000"/>
                <w:sz w:val="22"/>
                <w:szCs w:val="22"/>
              </w:rPr>
            </w:pPr>
            <w:r w:rsidRPr="00FD50EB">
              <w:rPr>
                <w:rFonts w:ascii="Palatino Linotype" w:hAnsi="Palatino Linotype"/>
                <w:b/>
                <w:color w:val="000000"/>
                <w:sz w:val="22"/>
                <w:szCs w:val="22"/>
              </w:rPr>
              <w:t>2010</w:t>
            </w:r>
          </w:p>
        </w:tc>
        <w:tc>
          <w:tcPr>
            <w:tcW w:w="1364"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11</w:t>
            </w:r>
          </w:p>
        </w:tc>
        <w:tc>
          <w:tcPr>
            <w:tcW w:w="180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6</w:t>
            </w:r>
          </w:p>
        </w:tc>
        <w:tc>
          <w:tcPr>
            <w:tcW w:w="225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421,475</w:t>
            </w:r>
          </w:p>
        </w:tc>
        <w:tc>
          <w:tcPr>
            <w:tcW w:w="234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91,624</w:t>
            </w:r>
          </w:p>
        </w:tc>
        <w:tc>
          <w:tcPr>
            <w:tcW w:w="234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18,561</w:t>
            </w:r>
          </w:p>
        </w:tc>
        <w:tc>
          <w:tcPr>
            <w:tcW w:w="153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5</w:t>
            </w:r>
          </w:p>
        </w:tc>
      </w:tr>
      <w:tr w:rsidR="00074F5B" w:rsidRPr="00FD50EB" w:rsidTr="00FD50EB">
        <w:trPr>
          <w:trHeight w:val="300"/>
        </w:trPr>
        <w:tc>
          <w:tcPr>
            <w:tcW w:w="1516" w:type="dxa"/>
            <w:shd w:val="clear" w:color="auto" w:fill="F2F2F2" w:themeFill="background1" w:themeFillShade="F2"/>
            <w:noWrap/>
            <w:vAlign w:val="bottom"/>
            <w:hideMark/>
          </w:tcPr>
          <w:p w:rsidR="005230E7" w:rsidRPr="00FD50EB" w:rsidRDefault="005230E7">
            <w:pPr>
              <w:jc w:val="center"/>
              <w:rPr>
                <w:rFonts w:ascii="Palatino Linotype" w:hAnsi="Palatino Linotype"/>
                <w:b/>
                <w:color w:val="000000"/>
                <w:sz w:val="22"/>
                <w:szCs w:val="22"/>
              </w:rPr>
            </w:pPr>
            <w:r w:rsidRPr="00FD50EB">
              <w:rPr>
                <w:rFonts w:ascii="Palatino Linotype" w:hAnsi="Palatino Linotype"/>
                <w:b/>
                <w:color w:val="000000"/>
                <w:sz w:val="22"/>
                <w:szCs w:val="22"/>
              </w:rPr>
              <w:t>2009</w:t>
            </w:r>
          </w:p>
        </w:tc>
        <w:tc>
          <w:tcPr>
            <w:tcW w:w="1364"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11</w:t>
            </w:r>
          </w:p>
        </w:tc>
        <w:tc>
          <w:tcPr>
            <w:tcW w:w="180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6</w:t>
            </w:r>
          </w:p>
        </w:tc>
        <w:tc>
          <w:tcPr>
            <w:tcW w:w="225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1,100,00</w:t>
            </w:r>
          </w:p>
        </w:tc>
        <w:tc>
          <w:tcPr>
            <w:tcW w:w="234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91,330</w:t>
            </w:r>
          </w:p>
        </w:tc>
        <w:tc>
          <w:tcPr>
            <w:tcW w:w="234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40,266</w:t>
            </w:r>
          </w:p>
        </w:tc>
        <w:tc>
          <w:tcPr>
            <w:tcW w:w="153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3</w:t>
            </w:r>
          </w:p>
        </w:tc>
      </w:tr>
      <w:tr w:rsidR="00074F5B" w:rsidRPr="00FD50EB" w:rsidTr="00FD50EB">
        <w:trPr>
          <w:trHeight w:val="300"/>
        </w:trPr>
        <w:tc>
          <w:tcPr>
            <w:tcW w:w="1516" w:type="dxa"/>
            <w:shd w:val="clear" w:color="auto" w:fill="F2F2F2" w:themeFill="background1" w:themeFillShade="F2"/>
            <w:noWrap/>
            <w:vAlign w:val="bottom"/>
            <w:hideMark/>
          </w:tcPr>
          <w:p w:rsidR="005230E7" w:rsidRPr="00FD50EB" w:rsidRDefault="005230E7">
            <w:pPr>
              <w:jc w:val="center"/>
              <w:rPr>
                <w:rFonts w:ascii="Palatino Linotype" w:hAnsi="Palatino Linotype"/>
                <w:b/>
                <w:color w:val="000000"/>
                <w:sz w:val="22"/>
                <w:szCs w:val="22"/>
              </w:rPr>
            </w:pPr>
            <w:r w:rsidRPr="00FD50EB">
              <w:rPr>
                <w:rFonts w:ascii="Palatino Linotype" w:hAnsi="Palatino Linotype"/>
                <w:b/>
                <w:color w:val="000000"/>
                <w:sz w:val="22"/>
                <w:szCs w:val="22"/>
              </w:rPr>
              <w:t>2008</w:t>
            </w:r>
          </w:p>
        </w:tc>
        <w:tc>
          <w:tcPr>
            <w:tcW w:w="1364"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8</w:t>
            </w:r>
          </w:p>
        </w:tc>
        <w:tc>
          <w:tcPr>
            <w:tcW w:w="180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11</w:t>
            </w:r>
          </w:p>
        </w:tc>
        <w:tc>
          <w:tcPr>
            <w:tcW w:w="225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3,025,000</w:t>
            </w:r>
          </w:p>
        </w:tc>
        <w:tc>
          <w:tcPr>
            <w:tcW w:w="234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93,430</w:t>
            </w:r>
          </w:p>
        </w:tc>
        <w:tc>
          <w:tcPr>
            <w:tcW w:w="234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54,205</w:t>
            </w:r>
          </w:p>
        </w:tc>
        <w:tc>
          <w:tcPr>
            <w:tcW w:w="153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3</w:t>
            </w:r>
          </w:p>
        </w:tc>
      </w:tr>
      <w:tr w:rsidR="00074F5B" w:rsidRPr="00FD50EB" w:rsidTr="00FD50EB">
        <w:trPr>
          <w:trHeight w:val="300"/>
        </w:trPr>
        <w:tc>
          <w:tcPr>
            <w:tcW w:w="1516" w:type="dxa"/>
            <w:shd w:val="clear" w:color="auto" w:fill="F2F2F2" w:themeFill="background1" w:themeFillShade="F2"/>
            <w:noWrap/>
            <w:vAlign w:val="bottom"/>
            <w:hideMark/>
          </w:tcPr>
          <w:p w:rsidR="005230E7" w:rsidRPr="00FD50EB" w:rsidRDefault="005230E7">
            <w:pPr>
              <w:jc w:val="center"/>
              <w:rPr>
                <w:rFonts w:ascii="Palatino Linotype" w:hAnsi="Palatino Linotype"/>
                <w:b/>
                <w:color w:val="000000"/>
                <w:sz w:val="22"/>
                <w:szCs w:val="22"/>
              </w:rPr>
            </w:pPr>
            <w:r w:rsidRPr="00FD50EB">
              <w:rPr>
                <w:rFonts w:ascii="Palatino Linotype" w:hAnsi="Palatino Linotype"/>
                <w:b/>
                <w:color w:val="000000"/>
                <w:sz w:val="22"/>
                <w:szCs w:val="22"/>
              </w:rPr>
              <w:t>2007</w:t>
            </w:r>
          </w:p>
        </w:tc>
        <w:tc>
          <w:tcPr>
            <w:tcW w:w="1364"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14</w:t>
            </w:r>
          </w:p>
        </w:tc>
        <w:tc>
          <w:tcPr>
            <w:tcW w:w="180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6</w:t>
            </w:r>
          </w:p>
        </w:tc>
        <w:tc>
          <w:tcPr>
            <w:tcW w:w="225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525,400</w:t>
            </w:r>
          </w:p>
        </w:tc>
        <w:tc>
          <w:tcPr>
            <w:tcW w:w="234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573,786</w:t>
            </w:r>
          </w:p>
        </w:tc>
        <w:tc>
          <w:tcPr>
            <w:tcW w:w="234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105,899</w:t>
            </w:r>
          </w:p>
        </w:tc>
        <w:tc>
          <w:tcPr>
            <w:tcW w:w="153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4</w:t>
            </w:r>
          </w:p>
        </w:tc>
      </w:tr>
      <w:tr w:rsidR="00074F5B" w:rsidRPr="00FD50EB" w:rsidTr="00FD50EB">
        <w:trPr>
          <w:trHeight w:val="300"/>
        </w:trPr>
        <w:tc>
          <w:tcPr>
            <w:tcW w:w="1516" w:type="dxa"/>
            <w:shd w:val="clear" w:color="auto" w:fill="F2F2F2" w:themeFill="background1" w:themeFillShade="F2"/>
            <w:noWrap/>
            <w:vAlign w:val="bottom"/>
            <w:hideMark/>
          </w:tcPr>
          <w:p w:rsidR="005230E7" w:rsidRPr="00FD50EB" w:rsidRDefault="005230E7">
            <w:pPr>
              <w:jc w:val="center"/>
              <w:rPr>
                <w:rFonts w:ascii="Palatino Linotype" w:hAnsi="Palatino Linotype"/>
                <w:b/>
                <w:color w:val="000000"/>
                <w:sz w:val="22"/>
                <w:szCs w:val="22"/>
              </w:rPr>
            </w:pPr>
            <w:r w:rsidRPr="00FD50EB">
              <w:rPr>
                <w:rFonts w:ascii="Palatino Linotype" w:hAnsi="Palatino Linotype"/>
                <w:b/>
                <w:color w:val="000000"/>
                <w:sz w:val="22"/>
                <w:szCs w:val="22"/>
              </w:rPr>
              <w:t>2006</w:t>
            </w:r>
          </w:p>
        </w:tc>
        <w:tc>
          <w:tcPr>
            <w:tcW w:w="1364"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16</w:t>
            </w:r>
          </w:p>
        </w:tc>
        <w:tc>
          <w:tcPr>
            <w:tcW w:w="180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8</w:t>
            </w:r>
          </w:p>
        </w:tc>
        <w:tc>
          <w:tcPr>
            <w:tcW w:w="225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-862,500</w:t>
            </w:r>
          </w:p>
        </w:tc>
        <w:tc>
          <w:tcPr>
            <w:tcW w:w="234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72,381</w:t>
            </w:r>
          </w:p>
        </w:tc>
        <w:tc>
          <w:tcPr>
            <w:tcW w:w="234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39,665</w:t>
            </w:r>
          </w:p>
        </w:tc>
        <w:tc>
          <w:tcPr>
            <w:tcW w:w="1530" w:type="dxa"/>
            <w:shd w:val="clear" w:color="auto" w:fill="auto"/>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4</w:t>
            </w:r>
          </w:p>
        </w:tc>
      </w:tr>
      <w:tr w:rsidR="00074F5B" w:rsidRPr="00FD50EB" w:rsidTr="00FD50EB">
        <w:trPr>
          <w:trHeight w:val="300"/>
        </w:trPr>
        <w:tc>
          <w:tcPr>
            <w:tcW w:w="1516" w:type="dxa"/>
            <w:shd w:val="clear" w:color="auto" w:fill="D9D9D9" w:themeFill="background1" w:themeFillShade="D9"/>
            <w:noWrap/>
            <w:vAlign w:val="bottom"/>
            <w:hideMark/>
          </w:tcPr>
          <w:p w:rsidR="005230E7" w:rsidRPr="00FD50EB" w:rsidRDefault="00F078A8">
            <w:pPr>
              <w:jc w:val="center"/>
              <w:rPr>
                <w:rFonts w:ascii="Palatino Linotype" w:hAnsi="Palatino Linotype"/>
                <w:b/>
                <w:color w:val="000000"/>
                <w:sz w:val="22"/>
                <w:szCs w:val="22"/>
              </w:rPr>
            </w:pPr>
            <w:r w:rsidRPr="00FD50EB">
              <w:rPr>
                <w:rFonts w:ascii="Palatino Linotype" w:hAnsi="Palatino Linotype"/>
                <w:b/>
                <w:color w:val="000000"/>
                <w:sz w:val="22"/>
                <w:szCs w:val="22"/>
              </w:rPr>
              <w:t>TOTALS</w:t>
            </w:r>
          </w:p>
        </w:tc>
        <w:tc>
          <w:tcPr>
            <w:tcW w:w="1364" w:type="dxa"/>
            <w:shd w:val="clear" w:color="auto" w:fill="D9D9D9" w:themeFill="background1" w:themeFillShade="D9"/>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88</w:t>
            </w:r>
          </w:p>
        </w:tc>
        <w:tc>
          <w:tcPr>
            <w:tcW w:w="1800" w:type="dxa"/>
            <w:shd w:val="clear" w:color="auto" w:fill="D9D9D9" w:themeFill="background1" w:themeFillShade="D9"/>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85</w:t>
            </w:r>
          </w:p>
        </w:tc>
        <w:tc>
          <w:tcPr>
            <w:tcW w:w="2250" w:type="dxa"/>
            <w:shd w:val="clear" w:color="auto" w:fill="D9D9D9" w:themeFill="background1" w:themeFillShade="D9"/>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5,924,175</w:t>
            </w:r>
          </w:p>
        </w:tc>
        <w:tc>
          <w:tcPr>
            <w:tcW w:w="2340" w:type="dxa"/>
            <w:shd w:val="clear" w:color="auto" w:fill="D9D9D9" w:themeFill="background1" w:themeFillShade="D9"/>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2,047,806</w:t>
            </w:r>
          </w:p>
        </w:tc>
        <w:tc>
          <w:tcPr>
            <w:tcW w:w="2340" w:type="dxa"/>
            <w:shd w:val="clear" w:color="auto" w:fill="D9D9D9" w:themeFill="background1" w:themeFillShade="D9"/>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348,806</w:t>
            </w:r>
          </w:p>
        </w:tc>
        <w:tc>
          <w:tcPr>
            <w:tcW w:w="1530" w:type="dxa"/>
            <w:shd w:val="clear" w:color="auto" w:fill="D9D9D9" w:themeFill="background1" w:themeFillShade="D9"/>
            <w:noWrap/>
            <w:vAlign w:val="bottom"/>
            <w:hideMark/>
          </w:tcPr>
          <w:p w:rsidR="005230E7" w:rsidRPr="00FD50EB" w:rsidRDefault="005230E7">
            <w:pPr>
              <w:jc w:val="center"/>
              <w:rPr>
                <w:rFonts w:ascii="Palatino Linotype" w:hAnsi="Palatino Linotype"/>
                <w:color w:val="000000"/>
                <w:sz w:val="22"/>
                <w:szCs w:val="22"/>
              </w:rPr>
            </w:pPr>
            <w:r w:rsidRPr="00FD50EB">
              <w:rPr>
                <w:rFonts w:ascii="Palatino Linotype" w:hAnsi="Palatino Linotype"/>
                <w:color w:val="000000"/>
                <w:sz w:val="22"/>
                <w:szCs w:val="22"/>
              </w:rPr>
              <w:t>32</w:t>
            </w:r>
          </w:p>
        </w:tc>
      </w:tr>
    </w:tbl>
    <w:p w:rsidR="003C56C1" w:rsidRDefault="003C56C1" w:rsidP="00B0781D">
      <w:pPr>
        <w:tabs>
          <w:tab w:val="left" w:pos="450"/>
        </w:tabs>
        <w:rPr>
          <w:rFonts w:ascii="Palatino Linotype" w:hAnsi="Palatino Linotype" w:cs="Arial"/>
          <w:sz w:val="22"/>
          <w:szCs w:val="22"/>
        </w:rPr>
      </w:pPr>
    </w:p>
    <w:p w:rsidR="002E0F94" w:rsidRDefault="002E0F94" w:rsidP="00B0781D">
      <w:pPr>
        <w:tabs>
          <w:tab w:val="left" w:pos="450"/>
        </w:tabs>
        <w:rPr>
          <w:rFonts w:ascii="Palatino Linotype" w:hAnsi="Palatino Linotype" w:cs="Arial"/>
          <w:sz w:val="22"/>
          <w:szCs w:val="22"/>
        </w:rPr>
      </w:pPr>
      <w:r>
        <w:rPr>
          <w:rFonts w:ascii="Palatino Linotype" w:hAnsi="Palatino Linotype" w:cs="Arial"/>
          <w:sz w:val="22"/>
          <w:szCs w:val="22"/>
        </w:rPr>
        <w:t>To provide a different perspective, the data is shown in the following three charts:</w:t>
      </w:r>
    </w:p>
    <w:p w:rsidR="002E0F94" w:rsidRDefault="002E0F94" w:rsidP="00B0781D">
      <w:pPr>
        <w:tabs>
          <w:tab w:val="left" w:pos="450"/>
        </w:tabs>
        <w:rPr>
          <w:rFonts w:ascii="Palatino Linotype" w:hAnsi="Palatino Linotype" w:cs="Arial"/>
          <w:sz w:val="22"/>
          <w:szCs w:val="22"/>
        </w:rPr>
      </w:pPr>
    </w:p>
    <w:p w:rsidR="002E0F94" w:rsidRPr="002E0F94" w:rsidRDefault="002E0F94" w:rsidP="00B0781D">
      <w:pPr>
        <w:tabs>
          <w:tab w:val="left" w:pos="450"/>
        </w:tabs>
        <w:rPr>
          <w:rFonts w:ascii="Palatino Linotype" w:hAnsi="Palatino Linotype" w:cs="Arial"/>
          <w:b/>
          <w:sz w:val="22"/>
          <w:szCs w:val="22"/>
        </w:rPr>
      </w:pPr>
      <w:r w:rsidRPr="002E0F94">
        <w:rPr>
          <w:rFonts w:ascii="Palatino Linotype" w:hAnsi="Palatino Linotype" w:cs="Arial"/>
          <w:b/>
          <w:sz w:val="22"/>
          <w:szCs w:val="22"/>
        </w:rPr>
        <w:t>TOTAL NUMBER OF WINERY USE PERMIT APPROVED ANNUALLY 92006-2015):</w:t>
      </w:r>
    </w:p>
    <w:p w:rsidR="003C56C1" w:rsidRDefault="003C56C1" w:rsidP="00B0781D">
      <w:pPr>
        <w:tabs>
          <w:tab w:val="left" w:pos="450"/>
        </w:tabs>
        <w:rPr>
          <w:rFonts w:ascii="Palatino Linotype" w:hAnsi="Palatino Linotype" w:cs="Arial"/>
          <w:sz w:val="22"/>
          <w:szCs w:val="22"/>
        </w:rPr>
      </w:pPr>
    </w:p>
    <w:p w:rsidR="00E5540B" w:rsidRDefault="003C56C1" w:rsidP="00B0781D">
      <w:pPr>
        <w:tabs>
          <w:tab w:val="left" w:pos="450"/>
        </w:tabs>
        <w:rPr>
          <w:rFonts w:ascii="Palatino Linotype" w:hAnsi="Palatino Linotype" w:cs="Arial"/>
          <w:sz w:val="22"/>
          <w:szCs w:val="22"/>
        </w:rPr>
      </w:pPr>
      <w:r>
        <w:rPr>
          <w:rFonts w:ascii="Palatino Linotype" w:hAnsi="Palatino Linotype" w:cs="Arial"/>
          <w:noProof/>
          <w:sz w:val="22"/>
          <w:szCs w:val="22"/>
        </w:rPr>
        <w:drawing>
          <wp:inline distT="0" distB="0" distL="0" distR="0" wp14:anchorId="4CD34A23" wp14:editId="60CFFAA1">
            <wp:extent cx="3617477" cy="2202180"/>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5715" cy="2207195"/>
                    </a:xfrm>
                    <a:prstGeom prst="rect">
                      <a:avLst/>
                    </a:prstGeom>
                    <a:noFill/>
                    <a:ln>
                      <a:noFill/>
                    </a:ln>
                  </pic:spPr>
                </pic:pic>
              </a:graphicData>
            </a:graphic>
          </wp:inline>
        </w:drawing>
      </w:r>
    </w:p>
    <w:p w:rsidR="00E5540B" w:rsidRDefault="00E5540B" w:rsidP="00B0781D">
      <w:pPr>
        <w:tabs>
          <w:tab w:val="left" w:pos="450"/>
        </w:tabs>
        <w:rPr>
          <w:rFonts w:ascii="Palatino Linotype" w:hAnsi="Palatino Linotype" w:cs="Arial"/>
          <w:sz w:val="22"/>
          <w:szCs w:val="22"/>
        </w:rPr>
      </w:pPr>
    </w:p>
    <w:p w:rsidR="00E5540B" w:rsidRPr="002E0F94" w:rsidRDefault="002E0F94" w:rsidP="00B0781D">
      <w:pPr>
        <w:tabs>
          <w:tab w:val="left" w:pos="450"/>
        </w:tabs>
        <w:rPr>
          <w:rFonts w:ascii="Palatino Linotype" w:hAnsi="Palatino Linotype" w:cs="Arial"/>
          <w:b/>
          <w:sz w:val="22"/>
          <w:szCs w:val="22"/>
        </w:rPr>
      </w:pPr>
      <w:r w:rsidRPr="002E0F94">
        <w:rPr>
          <w:rFonts w:ascii="Palatino Linotype" w:hAnsi="Palatino Linotype" w:cs="Arial"/>
          <w:b/>
          <w:sz w:val="22"/>
          <w:szCs w:val="22"/>
        </w:rPr>
        <w:t>ANNUAL INCREASE OR DECREASE IN TOTAL PERMITTED WINE PRODUCTION</w:t>
      </w:r>
      <w:r>
        <w:rPr>
          <w:rFonts w:ascii="Palatino Linotype" w:hAnsi="Palatino Linotype" w:cs="Arial"/>
          <w:b/>
          <w:sz w:val="22"/>
          <w:szCs w:val="22"/>
        </w:rPr>
        <w:t>:</w:t>
      </w:r>
    </w:p>
    <w:p w:rsidR="000E2CBB" w:rsidRDefault="003C56C1" w:rsidP="00B0781D">
      <w:pPr>
        <w:tabs>
          <w:tab w:val="left" w:pos="450"/>
        </w:tabs>
        <w:rPr>
          <w:rFonts w:ascii="Palatino Linotype" w:hAnsi="Palatino Linotype" w:cs="Arial"/>
          <w:sz w:val="22"/>
          <w:szCs w:val="22"/>
        </w:rPr>
      </w:pPr>
      <w:r>
        <w:rPr>
          <w:rFonts w:ascii="Palatino Linotype" w:hAnsi="Palatino Linotype" w:cs="Arial"/>
          <w:noProof/>
          <w:sz w:val="22"/>
          <w:szCs w:val="22"/>
        </w:rPr>
        <w:drawing>
          <wp:inline distT="0" distB="0" distL="0" distR="0" wp14:anchorId="25CECB21" wp14:editId="09538643">
            <wp:extent cx="3657600" cy="2475067"/>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0429" cy="2476982"/>
                    </a:xfrm>
                    <a:prstGeom prst="rect">
                      <a:avLst/>
                    </a:prstGeom>
                    <a:noFill/>
                    <a:ln>
                      <a:noFill/>
                    </a:ln>
                  </pic:spPr>
                </pic:pic>
              </a:graphicData>
            </a:graphic>
          </wp:inline>
        </w:drawing>
      </w:r>
    </w:p>
    <w:p w:rsidR="00E5540B" w:rsidRDefault="00E5540B" w:rsidP="00B0781D">
      <w:pPr>
        <w:tabs>
          <w:tab w:val="left" w:pos="450"/>
        </w:tabs>
        <w:rPr>
          <w:rFonts w:ascii="Palatino Linotype" w:hAnsi="Palatino Linotype" w:cs="Arial"/>
          <w:sz w:val="22"/>
          <w:szCs w:val="22"/>
        </w:rPr>
      </w:pPr>
    </w:p>
    <w:p w:rsidR="002E0F94" w:rsidRPr="002E0F94" w:rsidRDefault="002E0F94" w:rsidP="00B0781D">
      <w:pPr>
        <w:tabs>
          <w:tab w:val="left" w:pos="450"/>
        </w:tabs>
        <w:rPr>
          <w:rFonts w:ascii="Palatino Linotype" w:hAnsi="Palatino Linotype" w:cs="Arial"/>
          <w:b/>
          <w:sz w:val="22"/>
          <w:szCs w:val="22"/>
        </w:rPr>
      </w:pPr>
      <w:r w:rsidRPr="002E0F94">
        <w:rPr>
          <w:rFonts w:ascii="Palatino Linotype" w:hAnsi="Palatino Linotype" w:cs="Arial"/>
          <w:b/>
          <w:sz w:val="22"/>
          <w:szCs w:val="22"/>
        </w:rPr>
        <w:t>ANNUAL INCREASE IN TOTAL PERMITTED VISITATION (TASTING ROOM PLUS MARKETING):</w:t>
      </w:r>
    </w:p>
    <w:p w:rsidR="002E0F94" w:rsidRDefault="002E0F94" w:rsidP="00B0781D">
      <w:pPr>
        <w:tabs>
          <w:tab w:val="left" w:pos="450"/>
        </w:tabs>
        <w:rPr>
          <w:rFonts w:ascii="Palatino Linotype" w:hAnsi="Palatino Linotype" w:cs="Arial"/>
          <w:sz w:val="22"/>
          <w:szCs w:val="22"/>
        </w:rPr>
      </w:pPr>
    </w:p>
    <w:p w:rsidR="00E5540B" w:rsidRDefault="003C56C1" w:rsidP="00B0781D">
      <w:pPr>
        <w:tabs>
          <w:tab w:val="left" w:pos="450"/>
        </w:tabs>
        <w:rPr>
          <w:rFonts w:ascii="Palatino Linotype" w:hAnsi="Palatino Linotype" w:cs="Arial"/>
          <w:sz w:val="22"/>
          <w:szCs w:val="22"/>
        </w:rPr>
      </w:pPr>
      <w:r>
        <w:rPr>
          <w:rFonts w:ascii="Palatino Linotype" w:hAnsi="Palatino Linotype" w:cs="Arial"/>
          <w:noProof/>
          <w:sz w:val="22"/>
          <w:szCs w:val="22"/>
        </w:rPr>
        <w:drawing>
          <wp:inline distT="0" distB="0" distL="0" distR="0" wp14:anchorId="64526093" wp14:editId="474FD5FF">
            <wp:extent cx="3665220" cy="230575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7543" cy="2307218"/>
                    </a:xfrm>
                    <a:prstGeom prst="rect">
                      <a:avLst/>
                    </a:prstGeom>
                    <a:noFill/>
                    <a:ln>
                      <a:noFill/>
                    </a:ln>
                  </pic:spPr>
                </pic:pic>
              </a:graphicData>
            </a:graphic>
          </wp:inline>
        </w:drawing>
      </w:r>
    </w:p>
    <w:p w:rsidR="007E1EB1" w:rsidRDefault="007E1EB1" w:rsidP="00B0781D">
      <w:pPr>
        <w:tabs>
          <w:tab w:val="left" w:pos="450"/>
        </w:tabs>
        <w:rPr>
          <w:rFonts w:ascii="Palatino Linotype" w:hAnsi="Palatino Linotype" w:cs="Arial"/>
          <w:sz w:val="22"/>
          <w:szCs w:val="22"/>
        </w:rPr>
      </w:pPr>
    </w:p>
    <w:p w:rsidR="007E1EB1" w:rsidRPr="007E1EB1" w:rsidRDefault="007E1EB1" w:rsidP="00B0781D">
      <w:pPr>
        <w:tabs>
          <w:tab w:val="left" w:pos="450"/>
        </w:tabs>
        <w:rPr>
          <w:rFonts w:ascii="Palatino Linotype" w:hAnsi="Palatino Linotype" w:cs="Arial"/>
          <w:b/>
          <w:sz w:val="22"/>
          <w:szCs w:val="22"/>
        </w:rPr>
      </w:pPr>
      <w:r w:rsidRPr="007E1EB1">
        <w:rPr>
          <w:rFonts w:ascii="Palatino Linotype" w:hAnsi="Palatino Linotype" w:cs="Arial"/>
          <w:b/>
          <w:sz w:val="22"/>
          <w:szCs w:val="22"/>
        </w:rPr>
        <w:lastRenderedPageBreak/>
        <w:t xml:space="preserve">CHRONOLOGY OF WINERY PERMITS CONSIDERED BY </w:t>
      </w:r>
      <w:bookmarkStart w:id="0" w:name="_GoBack"/>
      <w:bookmarkEnd w:id="0"/>
      <w:r w:rsidRPr="007E1EB1">
        <w:rPr>
          <w:rFonts w:ascii="Palatino Linotype" w:hAnsi="Palatino Linotype" w:cs="Arial"/>
          <w:b/>
          <w:sz w:val="22"/>
          <w:szCs w:val="22"/>
        </w:rPr>
        <w:t>THE PLANNING COMMISSION SINCE JANUARY 1, 2006:</w:t>
      </w:r>
    </w:p>
    <w:p w:rsidR="007E1EB1" w:rsidRDefault="007E1EB1" w:rsidP="00B0781D">
      <w:pPr>
        <w:tabs>
          <w:tab w:val="left" w:pos="450"/>
        </w:tabs>
        <w:rPr>
          <w:rFonts w:ascii="Palatino Linotype" w:hAnsi="Palatino Linotype" w:cs="Arial"/>
          <w:sz w:val="22"/>
          <w:szCs w:val="22"/>
        </w:rPr>
      </w:pPr>
    </w:p>
    <w:tbl>
      <w:tblPr>
        <w:tblW w:w="13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2160"/>
        <w:gridCol w:w="1800"/>
        <w:gridCol w:w="1980"/>
        <w:gridCol w:w="2340"/>
        <w:gridCol w:w="2250"/>
        <w:gridCol w:w="1440"/>
      </w:tblGrid>
      <w:tr w:rsidR="002E0F94" w:rsidRPr="002E0F94" w:rsidTr="002E0F94">
        <w:trPr>
          <w:trHeight w:val="795"/>
        </w:trPr>
        <w:tc>
          <w:tcPr>
            <w:tcW w:w="1350" w:type="dxa"/>
            <w:shd w:val="clear" w:color="000000" w:fill="808080"/>
            <w:noWrap/>
            <w:vAlign w:val="bottom"/>
            <w:hideMark/>
          </w:tcPr>
          <w:p w:rsidR="002E0F94" w:rsidRPr="002E0F94" w:rsidRDefault="002E0F94" w:rsidP="002E0F94">
            <w:pPr>
              <w:jc w:val="center"/>
              <w:rPr>
                <w:rFonts w:ascii="Calibri" w:hAnsi="Calibri"/>
                <w:b/>
                <w:bCs/>
                <w:color w:val="FFFFFF"/>
                <w:sz w:val="20"/>
                <w:szCs w:val="20"/>
              </w:rPr>
            </w:pPr>
            <w:r w:rsidRPr="002E0F94">
              <w:rPr>
                <w:rFonts w:ascii="Calibri" w:hAnsi="Calibri"/>
                <w:b/>
                <w:bCs/>
                <w:color w:val="FFFFFF"/>
                <w:sz w:val="20"/>
                <w:szCs w:val="20"/>
              </w:rPr>
              <w:t>Date</w:t>
            </w:r>
          </w:p>
        </w:tc>
        <w:tc>
          <w:tcPr>
            <w:tcW w:w="2160" w:type="dxa"/>
            <w:shd w:val="clear" w:color="000000" w:fill="808080"/>
            <w:noWrap/>
            <w:vAlign w:val="bottom"/>
            <w:hideMark/>
          </w:tcPr>
          <w:p w:rsidR="002E0F94" w:rsidRPr="002E0F94" w:rsidRDefault="002E0F94" w:rsidP="002E0F94">
            <w:pPr>
              <w:rPr>
                <w:rFonts w:ascii="Calibri" w:hAnsi="Calibri"/>
                <w:b/>
                <w:bCs/>
                <w:color w:val="FFFFFF"/>
                <w:sz w:val="20"/>
                <w:szCs w:val="20"/>
              </w:rPr>
            </w:pPr>
            <w:r w:rsidRPr="002E0F94">
              <w:rPr>
                <w:rFonts w:ascii="Calibri" w:hAnsi="Calibri"/>
                <w:b/>
                <w:bCs/>
                <w:color w:val="FFFFFF"/>
                <w:sz w:val="20"/>
                <w:szCs w:val="20"/>
              </w:rPr>
              <w:t>Winery</w:t>
            </w:r>
          </w:p>
        </w:tc>
        <w:tc>
          <w:tcPr>
            <w:tcW w:w="1800" w:type="dxa"/>
            <w:shd w:val="clear" w:color="000000" w:fill="808080"/>
            <w:vAlign w:val="bottom"/>
            <w:hideMark/>
          </w:tcPr>
          <w:p w:rsidR="002E0F94" w:rsidRPr="002E0F94" w:rsidRDefault="002E0F94" w:rsidP="002E0F94">
            <w:pPr>
              <w:jc w:val="center"/>
              <w:rPr>
                <w:rFonts w:ascii="Calibri" w:hAnsi="Calibri"/>
                <w:b/>
                <w:bCs/>
                <w:color w:val="FFFFFF"/>
                <w:sz w:val="20"/>
                <w:szCs w:val="20"/>
              </w:rPr>
            </w:pPr>
            <w:r w:rsidRPr="002E0F94">
              <w:rPr>
                <w:rFonts w:ascii="Calibri" w:hAnsi="Calibri"/>
                <w:b/>
                <w:bCs/>
                <w:color w:val="FFFFFF"/>
                <w:sz w:val="20"/>
                <w:szCs w:val="20"/>
              </w:rPr>
              <w:t>New Permit or Modification</w:t>
            </w:r>
          </w:p>
        </w:tc>
        <w:tc>
          <w:tcPr>
            <w:tcW w:w="1980" w:type="dxa"/>
            <w:shd w:val="clear" w:color="000000" w:fill="808080"/>
            <w:vAlign w:val="bottom"/>
            <w:hideMark/>
          </w:tcPr>
          <w:p w:rsidR="002E0F94" w:rsidRPr="002E0F94" w:rsidRDefault="002E0F94" w:rsidP="002E0F94">
            <w:pPr>
              <w:jc w:val="center"/>
              <w:rPr>
                <w:rFonts w:ascii="Calibri" w:hAnsi="Calibri"/>
                <w:b/>
                <w:bCs/>
                <w:color w:val="FFFFFF"/>
                <w:sz w:val="20"/>
                <w:szCs w:val="20"/>
              </w:rPr>
            </w:pPr>
            <w:r w:rsidRPr="002E0F94">
              <w:rPr>
                <w:rFonts w:ascii="Calibri" w:hAnsi="Calibri"/>
                <w:b/>
                <w:bCs/>
                <w:color w:val="FFFFFF"/>
                <w:sz w:val="20"/>
                <w:szCs w:val="20"/>
              </w:rPr>
              <w:t>Net Increase in Production (Gallons)</w:t>
            </w:r>
          </w:p>
        </w:tc>
        <w:tc>
          <w:tcPr>
            <w:tcW w:w="2340" w:type="dxa"/>
            <w:shd w:val="clear" w:color="000000" w:fill="808080"/>
            <w:vAlign w:val="bottom"/>
            <w:hideMark/>
          </w:tcPr>
          <w:p w:rsidR="002E0F94" w:rsidRPr="002E0F94" w:rsidRDefault="002E0F94" w:rsidP="002E0F94">
            <w:pPr>
              <w:jc w:val="center"/>
              <w:rPr>
                <w:rFonts w:ascii="Calibri" w:hAnsi="Calibri"/>
                <w:b/>
                <w:bCs/>
                <w:color w:val="FFFFFF"/>
                <w:sz w:val="20"/>
                <w:szCs w:val="20"/>
              </w:rPr>
            </w:pPr>
            <w:r>
              <w:rPr>
                <w:rFonts w:ascii="Calibri" w:hAnsi="Calibri"/>
                <w:b/>
                <w:bCs/>
                <w:color w:val="FFFFFF"/>
                <w:sz w:val="20"/>
                <w:szCs w:val="20"/>
              </w:rPr>
              <w:t xml:space="preserve">Net Increase in Annual  </w:t>
            </w:r>
            <w:r w:rsidRPr="002E0F94">
              <w:rPr>
                <w:rFonts w:ascii="Calibri" w:hAnsi="Calibri"/>
                <w:b/>
                <w:bCs/>
                <w:color w:val="FFFFFF"/>
                <w:sz w:val="20"/>
                <w:szCs w:val="20"/>
              </w:rPr>
              <w:t>Tasting Room Visitation</w:t>
            </w:r>
          </w:p>
        </w:tc>
        <w:tc>
          <w:tcPr>
            <w:tcW w:w="2250" w:type="dxa"/>
            <w:shd w:val="clear" w:color="000000" w:fill="808080"/>
            <w:vAlign w:val="bottom"/>
            <w:hideMark/>
          </w:tcPr>
          <w:p w:rsidR="002E0F94" w:rsidRPr="002E0F94" w:rsidRDefault="002E0F94" w:rsidP="002E0F94">
            <w:pPr>
              <w:jc w:val="center"/>
              <w:rPr>
                <w:rFonts w:ascii="Calibri" w:hAnsi="Calibri"/>
                <w:b/>
                <w:bCs/>
                <w:color w:val="FFFFFF"/>
                <w:sz w:val="20"/>
                <w:szCs w:val="20"/>
              </w:rPr>
            </w:pPr>
            <w:r w:rsidRPr="002E0F94">
              <w:rPr>
                <w:rFonts w:ascii="Calibri" w:hAnsi="Calibri"/>
                <w:b/>
                <w:bCs/>
                <w:color w:val="FFFFFF"/>
                <w:sz w:val="20"/>
                <w:szCs w:val="20"/>
              </w:rPr>
              <w:t>Net Increase in Annual Marketing Visitors</w:t>
            </w:r>
          </w:p>
        </w:tc>
        <w:tc>
          <w:tcPr>
            <w:tcW w:w="1440" w:type="dxa"/>
            <w:shd w:val="clear" w:color="000000" w:fill="808080"/>
            <w:noWrap/>
            <w:vAlign w:val="bottom"/>
            <w:hideMark/>
          </w:tcPr>
          <w:p w:rsidR="002E0F94" w:rsidRPr="002E0F94" w:rsidRDefault="002E0F94" w:rsidP="002E0F94">
            <w:pPr>
              <w:jc w:val="center"/>
              <w:rPr>
                <w:rFonts w:ascii="Calibri" w:hAnsi="Calibri"/>
                <w:b/>
                <w:bCs/>
                <w:color w:val="FFFFFF"/>
                <w:sz w:val="20"/>
                <w:szCs w:val="20"/>
              </w:rPr>
            </w:pPr>
            <w:r w:rsidRPr="002E0F94">
              <w:rPr>
                <w:rFonts w:ascii="Calibri" w:hAnsi="Calibri"/>
                <w:b/>
                <w:bCs/>
                <w:color w:val="FFFFFF"/>
                <w:sz w:val="20"/>
                <w:szCs w:val="20"/>
              </w:rPr>
              <w:t>Variances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10/21/2015</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Girard</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DENIED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200,000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28,860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1,600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10/07/2015</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Hudson</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80,000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156,416</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2,528</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09/16/2015</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Materra</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35,000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Dalla</w:t>
            </w:r>
            <w:proofErr w:type="spellEnd"/>
            <w:r w:rsidRPr="002E0F94">
              <w:rPr>
                <w:rFonts w:ascii="Calibri" w:hAnsi="Calibri"/>
                <w:color w:val="000000"/>
                <w:sz w:val="22"/>
                <w:szCs w:val="22"/>
              </w:rPr>
              <w:t xml:space="preserve"> Valle</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06/17/2015</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Markham</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129,000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Reverie</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4,200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9,360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282</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05/06/2015</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Custom Crush</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DENIED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rPr>
                <w:rFonts w:ascii="Calibri" w:hAnsi="Calibri"/>
                <w:color w:val="000000"/>
                <w:sz w:val="22"/>
                <w:szCs w:val="22"/>
              </w:rPr>
            </w:pP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Bell</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17,888</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8,392</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Leaf and Vine</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18,500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7,020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rPr>
                <w:rFonts w:ascii="Calibri" w:hAnsi="Calibri"/>
                <w:color w:val="000000"/>
                <w:sz w:val="22"/>
                <w:szCs w:val="22"/>
              </w:rPr>
            </w:pP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Sawyer</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2,920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03/04/2015</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Melka</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1,560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160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01/21/2015</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Larkmead</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39,000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27,040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1,740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2015</w:t>
            </w:r>
          </w:p>
        </w:tc>
        <w:tc>
          <w:tcPr>
            <w:tcW w:w="2160" w:type="dxa"/>
            <w:shd w:val="clear" w:color="000000" w:fill="808080"/>
            <w:noWrap/>
            <w:vAlign w:val="bottom"/>
            <w:hideMark/>
          </w:tcPr>
          <w:p w:rsidR="002E0F94" w:rsidRPr="002E0F94" w:rsidRDefault="002E0F94" w:rsidP="002E0F94">
            <w:pPr>
              <w:rPr>
                <w:rFonts w:ascii="Calibri" w:hAnsi="Calibri"/>
                <w:color w:val="FFFFFF"/>
                <w:sz w:val="22"/>
                <w:szCs w:val="22"/>
              </w:rPr>
            </w:pPr>
            <w:r w:rsidRPr="002E0F94">
              <w:rPr>
                <w:rFonts w:ascii="Calibri" w:hAnsi="Calibri"/>
                <w:color w:val="FFFFFF"/>
                <w:sz w:val="22"/>
                <w:szCs w:val="22"/>
              </w:rPr>
              <w:t> </w:t>
            </w:r>
          </w:p>
        </w:tc>
        <w:tc>
          <w:tcPr>
            <w:tcW w:w="180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10</w:t>
            </w:r>
          </w:p>
        </w:tc>
        <w:tc>
          <w:tcPr>
            <w:tcW w:w="198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345,700</w:t>
            </w:r>
          </w:p>
        </w:tc>
        <w:tc>
          <w:tcPr>
            <w:tcW w:w="234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222,204</w:t>
            </w:r>
          </w:p>
        </w:tc>
        <w:tc>
          <w:tcPr>
            <w:tcW w:w="225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13,702</w:t>
            </w:r>
          </w:p>
        </w:tc>
        <w:tc>
          <w:tcPr>
            <w:tcW w:w="144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Pr>
                <w:rFonts w:ascii="Calibri" w:hAnsi="Calibri"/>
                <w:color w:val="FFFFFF"/>
                <w:sz w:val="22"/>
                <w:szCs w:val="22"/>
              </w:rPr>
              <w:t>1</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11/19/2014</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Robert Foley</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3,120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10/15/2014</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Relic</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07/16/2014</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Long Meadow Ranch</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17,160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1,400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07/02/2014</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Yountville Hill</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52,000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3,400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05/21/2014</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Castellucci</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11,220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530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05/07/2014</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Titus</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24,000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21,900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1,700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Goosecrosss</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04/02/2014</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Rombauer</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120,000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03/19/2014</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Sinegal</w:t>
            </w:r>
            <w:proofErr w:type="spellEnd"/>
            <w:r w:rsidRPr="002E0F94">
              <w:rPr>
                <w:rFonts w:ascii="Calibri" w:hAnsi="Calibri"/>
                <w:color w:val="000000"/>
                <w:sz w:val="22"/>
                <w:szCs w:val="22"/>
              </w:rPr>
              <w:t xml:space="preserve"> Estate</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46,800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6,188</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780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02/19/2014</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Diogenes Ridge</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4,680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1,020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02/05/2014</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Silverado Trail</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60,000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10,920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1,020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01/15/2014</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Pardigm</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5,460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Brand Napa Valley</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1,966</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1,870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 xml:space="preserve">Domaine </w:t>
            </w:r>
            <w:proofErr w:type="spellStart"/>
            <w:r w:rsidRPr="002E0F94">
              <w:rPr>
                <w:rFonts w:ascii="Calibri" w:hAnsi="Calibri"/>
                <w:color w:val="000000"/>
                <w:sz w:val="22"/>
                <w:szCs w:val="22"/>
              </w:rPr>
              <w:t>Carneros</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57,200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6,000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 xml:space="preserve">Martini </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9,256</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1,757</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2014</w:t>
            </w:r>
          </w:p>
        </w:tc>
        <w:tc>
          <w:tcPr>
            <w:tcW w:w="2160" w:type="dxa"/>
            <w:shd w:val="clear" w:color="000000" w:fill="808080"/>
            <w:noWrap/>
            <w:vAlign w:val="bottom"/>
            <w:hideMark/>
          </w:tcPr>
          <w:p w:rsidR="002E0F94" w:rsidRPr="002E0F94" w:rsidRDefault="002E0F94" w:rsidP="002E0F94">
            <w:pPr>
              <w:rPr>
                <w:rFonts w:ascii="Calibri" w:hAnsi="Calibri"/>
                <w:color w:val="FFFFFF"/>
                <w:sz w:val="22"/>
                <w:szCs w:val="22"/>
              </w:rPr>
            </w:pPr>
            <w:r w:rsidRPr="002E0F94">
              <w:rPr>
                <w:rFonts w:ascii="Calibri" w:hAnsi="Calibri"/>
                <w:color w:val="FFFFFF"/>
                <w:sz w:val="22"/>
                <w:szCs w:val="22"/>
              </w:rPr>
              <w:t> </w:t>
            </w:r>
          </w:p>
        </w:tc>
        <w:tc>
          <w:tcPr>
            <w:tcW w:w="180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15</w:t>
            </w:r>
          </w:p>
        </w:tc>
        <w:tc>
          <w:tcPr>
            <w:tcW w:w="198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530,800</w:t>
            </w:r>
          </w:p>
        </w:tc>
        <w:tc>
          <w:tcPr>
            <w:tcW w:w="234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201,070</w:t>
            </w:r>
          </w:p>
        </w:tc>
        <w:tc>
          <w:tcPr>
            <w:tcW w:w="225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19,627</w:t>
            </w:r>
          </w:p>
        </w:tc>
        <w:tc>
          <w:tcPr>
            <w:tcW w:w="144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6</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12/18/2013</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Farm Collective Winery</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80,000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10,920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1,300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12/04/2013</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Theorem</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11/06/2013</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Ideology Cellars</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5,460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240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 xml:space="preserve">Corona </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17,472</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2,428</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Wools Ranch</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18,200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4,640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10/16/2013</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Black Cat</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12,500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7,280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120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10/02/2013</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Kitchak</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2,920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Fantesca</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5,200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1,045</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Outpost</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9,048</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09/18/2013</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Darioush</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09/04/2013</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Keenan</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Exist</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Cosentino</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08/21/2013</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Clif</w:t>
            </w:r>
            <w:proofErr w:type="spellEnd"/>
            <w:r w:rsidRPr="002E0F94">
              <w:rPr>
                <w:rFonts w:ascii="Calibri" w:hAnsi="Calibri"/>
                <w:color w:val="000000"/>
                <w:sz w:val="22"/>
                <w:szCs w:val="22"/>
              </w:rPr>
              <w:t xml:space="preserve"> </w:t>
            </w:r>
            <w:proofErr w:type="spellStart"/>
            <w:r w:rsidRPr="002E0F94">
              <w:rPr>
                <w:rFonts w:ascii="Calibri" w:hAnsi="Calibri"/>
                <w:color w:val="000000"/>
                <w:sz w:val="22"/>
                <w:szCs w:val="22"/>
              </w:rPr>
              <w:t>Lede</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07/17/2013</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Dunn</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Exist</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15,000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988</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Araujo</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5,270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07/03/2013</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Davis Estates/</w:t>
            </w:r>
            <w:proofErr w:type="spellStart"/>
            <w:r w:rsidRPr="002E0F94">
              <w:rPr>
                <w:rFonts w:ascii="Calibri" w:hAnsi="Calibri"/>
                <w:color w:val="000000"/>
                <w:sz w:val="22"/>
                <w:szCs w:val="22"/>
              </w:rPr>
              <w:t>Frostfire</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6,810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2,520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06/05/2013</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Hartwell</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24,000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26,280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244</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Honig</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150,000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32,850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Coquerel</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3,650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1,260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05/01/2013</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White Cottage Ranch</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5,200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1,557</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04/17/2013</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Inglenook</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04/03/2013</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Stags Leap</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10,950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03/20/2013</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Tamber</w:t>
            </w:r>
            <w:proofErr w:type="spellEnd"/>
            <w:r w:rsidRPr="002E0F94">
              <w:rPr>
                <w:rFonts w:ascii="Calibri" w:hAnsi="Calibri"/>
                <w:color w:val="000000"/>
                <w:sz w:val="22"/>
                <w:szCs w:val="22"/>
              </w:rPr>
              <w:t xml:space="preserve"> </w:t>
            </w:r>
            <w:proofErr w:type="spellStart"/>
            <w:r w:rsidRPr="002E0F94">
              <w:rPr>
                <w:rFonts w:ascii="Calibri" w:hAnsi="Calibri"/>
                <w:color w:val="000000"/>
                <w:sz w:val="22"/>
                <w:szCs w:val="22"/>
              </w:rPr>
              <w:t>Bey</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60,000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7,280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1,360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03/06/2013</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B Cellars</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35,000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18,250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780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01/16/2013</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Arkenstone</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12,000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7,300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408</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2013</w:t>
            </w:r>
          </w:p>
        </w:tc>
        <w:tc>
          <w:tcPr>
            <w:tcW w:w="2160" w:type="dxa"/>
            <w:shd w:val="clear" w:color="000000" w:fill="808080"/>
            <w:noWrap/>
            <w:vAlign w:val="bottom"/>
            <w:hideMark/>
          </w:tcPr>
          <w:p w:rsidR="002E0F94" w:rsidRPr="002E0F94" w:rsidRDefault="002E0F94" w:rsidP="002E0F94">
            <w:pPr>
              <w:rPr>
                <w:rFonts w:ascii="Calibri" w:hAnsi="Calibri"/>
                <w:color w:val="FFFFFF"/>
                <w:sz w:val="22"/>
                <w:szCs w:val="22"/>
              </w:rPr>
            </w:pPr>
            <w:r w:rsidRPr="002E0F94">
              <w:rPr>
                <w:rFonts w:ascii="Calibri" w:hAnsi="Calibri"/>
                <w:color w:val="FFFFFF"/>
                <w:sz w:val="22"/>
                <w:szCs w:val="22"/>
              </w:rPr>
              <w:t> </w:t>
            </w:r>
          </w:p>
        </w:tc>
        <w:tc>
          <w:tcPr>
            <w:tcW w:w="180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25</w:t>
            </w:r>
          </w:p>
        </w:tc>
        <w:tc>
          <w:tcPr>
            <w:tcW w:w="198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648,500</w:t>
            </w:r>
          </w:p>
        </w:tc>
        <w:tc>
          <w:tcPr>
            <w:tcW w:w="234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201,328</w:t>
            </w:r>
          </w:p>
        </w:tc>
        <w:tc>
          <w:tcPr>
            <w:tcW w:w="225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18,607</w:t>
            </w:r>
          </w:p>
        </w:tc>
        <w:tc>
          <w:tcPr>
            <w:tcW w:w="144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3</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12/05/2012</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H &amp; L Winery</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7,280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10/17/2012</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Odette</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43,304</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6,795</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09/05/2012</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Chateau Lane</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1,872</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460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06/06/2012</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Cairdean</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9,125</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2,673</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Krupp</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21,900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3,370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Larkmead</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05/16/2012</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 xml:space="preserve">Swanson </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73,000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3,378</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05/02/2012</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Rombauer</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lastRenderedPageBreak/>
              <w:t>04/18/2012</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Hall</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03/21/2012</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Reata</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600,000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Envy</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900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 xml:space="preserve">Cliff </w:t>
            </w:r>
            <w:proofErr w:type="spellStart"/>
            <w:r w:rsidRPr="002E0F94">
              <w:rPr>
                <w:rFonts w:ascii="Calibri" w:hAnsi="Calibri"/>
                <w:color w:val="000000"/>
                <w:sz w:val="22"/>
                <w:szCs w:val="22"/>
              </w:rPr>
              <w:t>Lede</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7,280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03/07/2012</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 xml:space="preserve">Domaine </w:t>
            </w:r>
            <w:proofErr w:type="spellStart"/>
            <w:r w:rsidRPr="002E0F94">
              <w:rPr>
                <w:rFonts w:ascii="Calibri" w:hAnsi="Calibri"/>
                <w:color w:val="000000"/>
                <w:sz w:val="22"/>
                <w:szCs w:val="22"/>
              </w:rPr>
              <w:t>Carneros</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88,400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3,600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Paraduxx</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7,250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-5,925</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2012</w:t>
            </w:r>
          </w:p>
        </w:tc>
        <w:tc>
          <w:tcPr>
            <w:tcW w:w="2160" w:type="dxa"/>
            <w:shd w:val="clear" w:color="000000" w:fill="808080"/>
            <w:noWrap/>
            <w:vAlign w:val="bottom"/>
            <w:hideMark/>
          </w:tcPr>
          <w:p w:rsidR="002E0F94" w:rsidRPr="002E0F94" w:rsidRDefault="002E0F94" w:rsidP="002E0F94">
            <w:pPr>
              <w:rPr>
                <w:rFonts w:ascii="Calibri" w:hAnsi="Calibri"/>
                <w:color w:val="FFFFFF"/>
                <w:sz w:val="22"/>
                <w:szCs w:val="22"/>
              </w:rPr>
            </w:pPr>
            <w:r w:rsidRPr="002E0F94">
              <w:rPr>
                <w:rFonts w:ascii="Calibri" w:hAnsi="Calibri"/>
                <w:color w:val="FFFFFF"/>
                <w:sz w:val="22"/>
                <w:szCs w:val="22"/>
              </w:rPr>
              <w:t> </w:t>
            </w:r>
          </w:p>
        </w:tc>
        <w:tc>
          <w:tcPr>
            <w:tcW w:w="180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14</w:t>
            </w:r>
          </w:p>
        </w:tc>
        <w:tc>
          <w:tcPr>
            <w:tcW w:w="198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940,000</w:t>
            </w:r>
          </w:p>
        </w:tc>
        <w:tc>
          <w:tcPr>
            <w:tcW w:w="234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259,411</w:t>
            </w:r>
          </w:p>
        </w:tc>
        <w:tc>
          <w:tcPr>
            <w:tcW w:w="225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16,651</w:t>
            </w:r>
          </w:p>
        </w:tc>
        <w:tc>
          <w:tcPr>
            <w:tcW w:w="144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2</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11/16/2011</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Lodestone</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12,740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390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10/19/2011</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Silver Oak</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77,500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09/21/2011</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Faust House</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5,200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600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Eagle Eye</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5,840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1,452</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08/17/2011</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Chappellet</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Exist</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2,345</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07/06/2011</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Seven Stones</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900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264</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218</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Diamond Heights</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Exist</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5,460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420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 xml:space="preserve">Rasmussen </w:t>
            </w:r>
            <w:proofErr w:type="spellStart"/>
            <w:r w:rsidRPr="002E0F94">
              <w:rPr>
                <w:rFonts w:ascii="Calibri" w:hAnsi="Calibri"/>
                <w:color w:val="000000"/>
                <w:sz w:val="22"/>
                <w:szCs w:val="22"/>
              </w:rPr>
              <w:t>Carneros</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Exist</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80,000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-8,736</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-575</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06/01/2011</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Gateway</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Carevan</w:t>
            </w:r>
            <w:proofErr w:type="spellEnd"/>
            <w:r w:rsidRPr="002E0F94">
              <w:rPr>
                <w:rFonts w:ascii="Calibri" w:hAnsi="Calibri"/>
                <w:color w:val="000000"/>
                <w:sz w:val="22"/>
                <w:szCs w:val="22"/>
              </w:rPr>
              <w:t xml:space="preserve"> </w:t>
            </w:r>
            <w:proofErr w:type="spellStart"/>
            <w:r w:rsidRPr="002E0F94">
              <w:rPr>
                <w:rFonts w:ascii="Calibri" w:hAnsi="Calibri"/>
                <w:color w:val="000000"/>
                <w:sz w:val="22"/>
                <w:szCs w:val="22"/>
              </w:rPr>
              <w:t>Serai</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136,900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3,656</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04/20/2011</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Timothy Mondavi</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21,400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730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450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04/06/2011</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Quintessa</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24,700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150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03/02/2011</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Morlet</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02/02/2011</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Rogers</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6,240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01/19/2011</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Rasmussen Ramsay</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60,000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17,472</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977</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01/05/2011</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Rocca</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11,648</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10,800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2011</w:t>
            </w:r>
          </w:p>
        </w:tc>
        <w:tc>
          <w:tcPr>
            <w:tcW w:w="2160" w:type="dxa"/>
            <w:shd w:val="clear" w:color="000000" w:fill="808080"/>
            <w:noWrap/>
            <w:vAlign w:val="bottom"/>
            <w:hideMark/>
          </w:tcPr>
          <w:p w:rsidR="002E0F94" w:rsidRPr="002E0F94" w:rsidRDefault="002E0F94" w:rsidP="002E0F94">
            <w:pPr>
              <w:rPr>
                <w:rFonts w:ascii="Calibri" w:hAnsi="Calibri"/>
                <w:color w:val="FFFFFF"/>
                <w:sz w:val="22"/>
                <w:szCs w:val="22"/>
              </w:rPr>
            </w:pPr>
            <w:r w:rsidRPr="002E0F94">
              <w:rPr>
                <w:rFonts w:ascii="Calibri" w:hAnsi="Calibri"/>
                <w:color w:val="FFFFFF"/>
                <w:sz w:val="22"/>
                <w:szCs w:val="22"/>
              </w:rPr>
              <w:t> </w:t>
            </w:r>
          </w:p>
        </w:tc>
        <w:tc>
          <w:tcPr>
            <w:tcW w:w="180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16</w:t>
            </w:r>
          </w:p>
        </w:tc>
        <w:tc>
          <w:tcPr>
            <w:tcW w:w="198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349,800</w:t>
            </w:r>
          </w:p>
        </w:tc>
        <w:tc>
          <w:tcPr>
            <w:tcW w:w="234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218,458</w:t>
            </w:r>
          </w:p>
        </w:tc>
        <w:tc>
          <w:tcPr>
            <w:tcW w:w="225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21,283</w:t>
            </w:r>
          </w:p>
        </w:tc>
        <w:tc>
          <w:tcPr>
            <w:tcW w:w="144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1</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12/01/2010</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Vineyard 22</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2,600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270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11/17/2010</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Kelham</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5,720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240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10/06/2010</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Ca'Nani</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48,000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10,400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1,146</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09/15/2010</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McBride</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25,000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250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08/18/2010</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Relic</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6,240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350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08/04/2010</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Hyde</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6,240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Frogs Leap</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2,600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Sinskey</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78,000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2,820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MJA</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20,475</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3,900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420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07/07/2010</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Sandpoint Wines</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5,824</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785</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06/16/2010</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Shutters</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2,080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Ceja</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45,000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8,736</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1,285</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04/21/2010</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Wallis</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5,616</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225</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04/07/2010</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J Cellars</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27,300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4,560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Mumm Napa</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4,450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Feather Horse</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120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01/20/2010</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Kitchak</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4,368</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240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2010</w:t>
            </w:r>
          </w:p>
        </w:tc>
        <w:tc>
          <w:tcPr>
            <w:tcW w:w="2160" w:type="dxa"/>
            <w:shd w:val="clear" w:color="000000" w:fill="808080"/>
            <w:noWrap/>
            <w:vAlign w:val="bottom"/>
            <w:hideMark/>
          </w:tcPr>
          <w:p w:rsidR="002E0F94" w:rsidRPr="002E0F94" w:rsidRDefault="002E0F94" w:rsidP="002E0F94">
            <w:pPr>
              <w:rPr>
                <w:rFonts w:ascii="Calibri" w:hAnsi="Calibri"/>
                <w:color w:val="FFFFFF"/>
                <w:sz w:val="22"/>
                <w:szCs w:val="22"/>
              </w:rPr>
            </w:pPr>
            <w:r w:rsidRPr="002E0F94">
              <w:rPr>
                <w:rFonts w:ascii="Calibri" w:hAnsi="Calibri"/>
                <w:color w:val="FFFFFF"/>
                <w:sz w:val="22"/>
                <w:szCs w:val="22"/>
              </w:rPr>
              <w:t> </w:t>
            </w:r>
          </w:p>
        </w:tc>
        <w:tc>
          <w:tcPr>
            <w:tcW w:w="180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17</w:t>
            </w:r>
          </w:p>
        </w:tc>
        <w:tc>
          <w:tcPr>
            <w:tcW w:w="198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421,475</w:t>
            </w:r>
          </w:p>
        </w:tc>
        <w:tc>
          <w:tcPr>
            <w:tcW w:w="234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91,624</w:t>
            </w:r>
          </w:p>
        </w:tc>
        <w:tc>
          <w:tcPr>
            <w:tcW w:w="225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18,561</w:t>
            </w:r>
          </w:p>
        </w:tc>
        <w:tc>
          <w:tcPr>
            <w:tcW w:w="144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5</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12/02/2009</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Venge</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7,280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180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Hunnicut</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8,736</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2,120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11/18/2009</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Marciano</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3,900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375</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10/21/2009</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Fisher</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2,600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575</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Grgich</w:t>
            </w:r>
            <w:proofErr w:type="spellEnd"/>
            <w:r w:rsidRPr="002E0F94">
              <w:rPr>
                <w:rFonts w:ascii="Calibri" w:hAnsi="Calibri"/>
                <w:color w:val="000000"/>
                <w:sz w:val="22"/>
                <w:szCs w:val="22"/>
              </w:rPr>
              <w:t xml:space="preserve"> Hills</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19,440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09/16/2009</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Wheeler</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11,648</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1,452</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Mansfield</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6,240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624</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08/05/2009</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Lake Ridge</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3,120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07/15/2009</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 xml:space="preserve">Carver </w:t>
            </w:r>
            <w:proofErr w:type="spellStart"/>
            <w:r w:rsidRPr="002E0F94">
              <w:rPr>
                <w:rFonts w:ascii="Calibri" w:hAnsi="Calibri"/>
                <w:color w:val="000000"/>
                <w:sz w:val="22"/>
                <w:szCs w:val="22"/>
              </w:rPr>
              <w:t>Sutro</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6,240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370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07/01/2009</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Busby</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06/17/2009</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Round Pond</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80,000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14,040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11,470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Suscol</w:t>
            </w:r>
            <w:proofErr w:type="spellEnd"/>
            <w:r w:rsidRPr="002E0F94">
              <w:rPr>
                <w:rFonts w:ascii="Calibri" w:hAnsi="Calibri"/>
                <w:color w:val="000000"/>
                <w:sz w:val="22"/>
                <w:szCs w:val="22"/>
              </w:rPr>
              <w:t xml:space="preserve"> Creek</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400,000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1,560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06/03/2009</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Bourassa</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Exist</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2,340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05/06/2009</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Pavitt</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1,456</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110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04/01/2009</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Lincoln Ranch</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15,600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1,950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02/04/2009</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Laird</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250,000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01/07/2009</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Saviez</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Cunat</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6,570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1,100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2009</w:t>
            </w:r>
          </w:p>
        </w:tc>
        <w:tc>
          <w:tcPr>
            <w:tcW w:w="2160" w:type="dxa"/>
            <w:shd w:val="clear" w:color="000000" w:fill="808080"/>
            <w:noWrap/>
            <w:vAlign w:val="bottom"/>
            <w:hideMark/>
          </w:tcPr>
          <w:p w:rsidR="002E0F94" w:rsidRPr="002E0F94" w:rsidRDefault="002E0F94" w:rsidP="002E0F94">
            <w:pPr>
              <w:rPr>
                <w:rFonts w:ascii="Calibri" w:hAnsi="Calibri"/>
                <w:color w:val="FFFFFF"/>
                <w:sz w:val="22"/>
                <w:szCs w:val="22"/>
              </w:rPr>
            </w:pPr>
            <w:r w:rsidRPr="002E0F94">
              <w:rPr>
                <w:rFonts w:ascii="Calibri" w:hAnsi="Calibri"/>
                <w:color w:val="FFFFFF"/>
                <w:sz w:val="22"/>
                <w:szCs w:val="22"/>
              </w:rPr>
              <w:t> </w:t>
            </w:r>
          </w:p>
        </w:tc>
        <w:tc>
          <w:tcPr>
            <w:tcW w:w="180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18</w:t>
            </w:r>
          </w:p>
        </w:tc>
        <w:tc>
          <w:tcPr>
            <w:tcW w:w="198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1,100,000</w:t>
            </w:r>
          </w:p>
        </w:tc>
        <w:tc>
          <w:tcPr>
            <w:tcW w:w="234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91,330</w:t>
            </w:r>
          </w:p>
        </w:tc>
        <w:tc>
          <w:tcPr>
            <w:tcW w:w="225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40,266</w:t>
            </w:r>
          </w:p>
        </w:tc>
        <w:tc>
          <w:tcPr>
            <w:tcW w:w="144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3</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12/17/2008</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Cimarossa</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2,080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Pavitt</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DENIED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Lynch</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10,400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1,285</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11/19/2008</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Alpha Omega</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47,150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2,800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Vasser</w:t>
            </w:r>
            <w:proofErr w:type="spellEnd"/>
            <w:r w:rsidRPr="002E0F94">
              <w:rPr>
                <w:rFonts w:ascii="Calibri" w:hAnsi="Calibri"/>
                <w:color w:val="000000"/>
                <w:sz w:val="22"/>
                <w:szCs w:val="22"/>
              </w:rPr>
              <w:t xml:space="preserve"> </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36,000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1,872</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10/15/2008</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Spelletich</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60,000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07/16/2008</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Futo</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06/04/2008</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Mumm Napa</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350,000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lastRenderedPageBreak/>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Sage Hill</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15,000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936</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125</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05/07/2008</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Budge Brown</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16,000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3,900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430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V Madrone</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04/16/2008</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 xml:space="preserve">El </w:t>
            </w:r>
            <w:proofErr w:type="spellStart"/>
            <w:r w:rsidRPr="002E0F94">
              <w:rPr>
                <w:rFonts w:ascii="Calibri" w:hAnsi="Calibri"/>
                <w:color w:val="000000"/>
                <w:sz w:val="22"/>
                <w:szCs w:val="22"/>
              </w:rPr>
              <w:t>Retiro</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Robert Mondavi</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1,400,000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04/02/2008</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Craig</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03/19/2008</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Calistoga Artisan</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48,000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12,480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384</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03/05/2008</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Gateway</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600,000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10,400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9,000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Elyse</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02/20/2008</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Rudd</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120,000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02/06/2008</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Sage Canyon</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150,000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2,912</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496</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Sequoia Grove</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38,800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01/02/2008</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Bryant Morris</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Exist</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1,300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185</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2008</w:t>
            </w:r>
          </w:p>
        </w:tc>
        <w:tc>
          <w:tcPr>
            <w:tcW w:w="2160" w:type="dxa"/>
            <w:shd w:val="clear" w:color="000000" w:fill="808080"/>
            <w:noWrap/>
            <w:vAlign w:val="bottom"/>
            <w:hideMark/>
          </w:tcPr>
          <w:p w:rsidR="002E0F94" w:rsidRPr="002E0F94" w:rsidRDefault="002E0F94" w:rsidP="002E0F94">
            <w:pPr>
              <w:rPr>
                <w:rFonts w:ascii="Calibri" w:hAnsi="Calibri"/>
                <w:color w:val="FFFFFF"/>
                <w:sz w:val="22"/>
                <w:szCs w:val="22"/>
              </w:rPr>
            </w:pPr>
            <w:r w:rsidRPr="002E0F94">
              <w:rPr>
                <w:rFonts w:ascii="Calibri" w:hAnsi="Calibri"/>
                <w:color w:val="FFFFFF"/>
                <w:sz w:val="22"/>
                <w:szCs w:val="22"/>
              </w:rPr>
              <w:t> </w:t>
            </w:r>
          </w:p>
        </w:tc>
        <w:tc>
          <w:tcPr>
            <w:tcW w:w="180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20</w:t>
            </w:r>
          </w:p>
        </w:tc>
        <w:tc>
          <w:tcPr>
            <w:tcW w:w="198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3,025,000</w:t>
            </w:r>
          </w:p>
        </w:tc>
        <w:tc>
          <w:tcPr>
            <w:tcW w:w="234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93,430</w:t>
            </w:r>
          </w:p>
        </w:tc>
        <w:tc>
          <w:tcPr>
            <w:tcW w:w="225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54,205</w:t>
            </w:r>
          </w:p>
        </w:tc>
        <w:tc>
          <w:tcPr>
            <w:tcW w:w="144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3</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11/07/2007</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V. Sattui</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444,288</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95,400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10/17/2007</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Spence</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64</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09/19/2007</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Grieve</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15,000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09/05/2007</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Whitehall Lane</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75,000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08/15/2007</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Broman</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520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195</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08/01/2007</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Frank Family</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75,400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3,040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Alumbaugh</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7,280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244</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Lieff</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416</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60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07/18/2007</w:t>
            </w:r>
          </w:p>
        </w:tc>
        <w:tc>
          <w:tcPr>
            <w:tcW w:w="2160" w:type="dxa"/>
            <w:shd w:val="clear" w:color="auto" w:fill="auto"/>
            <w:noWrap/>
            <w:vAlign w:val="bottom"/>
            <w:hideMark/>
          </w:tcPr>
          <w:p w:rsidR="002E0F94" w:rsidRPr="002E0F94" w:rsidRDefault="002E0F94" w:rsidP="002E0F94">
            <w:pPr>
              <w:rPr>
                <w:rFonts w:ascii="Calibri" w:hAnsi="Calibri"/>
                <w:sz w:val="22"/>
                <w:szCs w:val="22"/>
              </w:rPr>
            </w:pPr>
            <w:r w:rsidRPr="002E0F94">
              <w:rPr>
                <w:rFonts w:ascii="Calibri" w:hAnsi="Calibri"/>
                <w:sz w:val="22"/>
                <w:szCs w:val="22"/>
              </w:rPr>
              <w:t xml:space="preserve">Del </w:t>
            </w:r>
            <w:proofErr w:type="spellStart"/>
            <w:r w:rsidRPr="002E0F94">
              <w:rPr>
                <w:rFonts w:ascii="Calibri" w:hAnsi="Calibri"/>
                <w:sz w:val="22"/>
                <w:szCs w:val="22"/>
              </w:rPr>
              <w:t>Dotto</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sz w:val="22"/>
                <w:szCs w:val="22"/>
              </w:rPr>
            </w:pPr>
            <w:r w:rsidRPr="002E0F94">
              <w:rPr>
                <w:rFonts w:ascii="Calibri" w:hAnsi="Calibri"/>
                <w:sz w:val="22"/>
                <w:szCs w:val="22"/>
              </w:rPr>
              <w:t>06/06/2007</w:t>
            </w:r>
          </w:p>
        </w:tc>
        <w:tc>
          <w:tcPr>
            <w:tcW w:w="2160" w:type="dxa"/>
            <w:shd w:val="clear" w:color="auto" w:fill="auto"/>
            <w:noWrap/>
            <w:vAlign w:val="bottom"/>
            <w:hideMark/>
          </w:tcPr>
          <w:p w:rsidR="002E0F94" w:rsidRPr="002E0F94" w:rsidRDefault="002E0F94" w:rsidP="002E0F94">
            <w:pPr>
              <w:rPr>
                <w:rFonts w:ascii="Calibri" w:hAnsi="Calibri"/>
                <w:sz w:val="22"/>
                <w:szCs w:val="22"/>
              </w:rPr>
            </w:pPr>
            <w:proofErr w:type="spellStart"/>
            <w:r w:rsidRPr="002E0F94">
              <w:rPr>
                <w:rFonts w:ascii="Calibri" w:hAnsi="Calibri"/>
                <w:sz w:val="22"/>
                <w:szCs w:val="22"/>
              </w:rPr>
              <w:t>D'Ambrosio</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sz w:val="22"/>
                <w:szCs w:val="22"/>
              </w:rPr>
            </w:pPr>
            <w:r w:rsidRPr="002E0F94">
              <w:rPr>
                <w:rFonts w:ascii="Calibri" w:hAnsi="Calibri"/>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sz w:val="22"/>
                <w:szCs w:val="22"/>
              </w:rPr>
            </w:pPr>
            <w:r w:rsidRPr="002E0F94">
              <w:rPr>
                <w:rFonts w:ascii="Calibri" w:hAnsi="Calibri"/>
                <w:sz w:val="22"/>
                <w:szCs w:val="22"/>
              </w:rPr>
              <w:t>30,000</w:t>
            </w:r>
          </w:p>
        </w:tc>
        <w:tc>
          <w:tcPr>
            <w:tcW w:w="2340" w:type="dxa"/>
            <w:shd w:val="clear" w:color="auto" w:fill="auto"/>
            <w:noWrap/>
            <w:vAlign w:val="bottom"/>
            <w:hideMark/>
          </w:tcPr>
          <w:p w:rsidR="002E0F94" w:rsidRPr="002E0F94" w:rsidRDefault="002E0F94" w:rsidP="002E0F94">
            <w:pPr>
              <w:jc w:val="center"/>
              <w:rPr>
                <w:rFonts w:ascii="Calibri" w:hAnsi="Calibri"/>
                <w:sz w:val="22"/>
                <w:szCs w:val="22"/>
              </w:rPr>
            </w:pPr>
            <w:r w:rsidRPr="002E0F94">
              <w:rPr>
                <w:rFonts w:ascii="Calibri" w:hAnsi="Calibri"/>
                <w:sz w:val="22"/>
                <w:szCs w:val="22"/>
              </w:rPr>
              <w:t>7,644</w:t>
            </w:r>
          </w:p>
        </w:tc>
        <w:tc>
          <w:tcPr>
            <w:tcW w:w="2250" w:type="dxa"/>
            <w:shd w:val="clear" w:color="auto" w:fill="auto"/>
            <w:noWrap/>
            <w:vAlign w:val="bottom"/>
            <w:hideMark/>
          </w:tcPr>
          <w:p w:rsidR="002E0F94" w:rsidRPr="002E0F94" w:rsidRDefault="002E0F94" w:rsidP="002E0F94">
            <w:pPr>
              <w:jc w:val="center"/>
              <w:rPr>
                <w:rFonts w:ascii="Calibri" w:hAnsi="Calibri"/>
                <w:sz w:val="22"/>
                <w:szCs w:val="22"/>
              </w:rPr>
            </w:pPr>
            <w:r w:rsidRPr="002E0F94">
              <w:rPr>
                <w:rFonts w:ascii="Calibri" w:hAnsi="Calibri"/>
                <w:sz w:val="22"/>
                <w:szCs w:val="22"/>
              </w:rPr>
              <w:t>270</w:t>
            </w:r>
          </w:p>
        </w:tc>
        <w:tc>
          <w:tcPr>
            <w:tcW w:w="1440" w:type="dxa"/>
            <w:shd w:val="clear" w:color="auto" w:fill="auto"/>
            <w:noWrap/>
            <w:vAlign w:val="bottom"/>
            <w:hideMark/>
          </w:tcPr>
          <w:p w:rsidR="002E0F94" w:rsidRPr="002E0F94" w:rsidRDefault="002E0F94" w:rsidP="002E0F94">
            <w:pPr>
              <w:jc w:val="center"/>
              <w:rPr>
                <w:rFonts w:ascii="Calibri" w:hAnsi="Calibri"/>
                <w:sz w:val="22"/>
                <w:szCs w:val="22"/>
              </w:rPr>
            </w:pPr>
            <w:r w:rsidRPr="002E0F94">
              <w:rPr>
                <w:rFonts w:ascii="Calibri" w:hAnsi="Calibri"/>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Malk</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2,400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1,456</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04/18/2007</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Looking Glass</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1,144</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550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Toad Hall</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Silverado Hill</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150,000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25,550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3,612</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04/04/2007</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Foley</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03/07/2007</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Sage</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15,000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2,496</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484</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02/21/2007</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Miller</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1,248</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80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Silver Oak</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02/07/2007</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Hillview</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5,824</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1,430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2007</w:t>
            </w:r>
          </w:p>
        </w:tc>
        <w:tc>
          <w:tcPr>
            <w:tcW w:w="2160" w:type="dxa"/>
            <w:shd w:val="clear" w:color="000000" w:fill="808080"/>
            <w:noWrap/>
            <w:vAlign w:val="bottom"/>
            <w:hideMark/>
          </w:tcPr>
          <w:p w:rsidR="002E0F94" w:rsidRPr="002E0F94" w:rsidRDefault="002E0F94" w:rsidP="002E0F94">
            <w:pPr>
              <w:rPr>
                <w:rFonts w:ascii="Calibri" w:hAnsi="Calibri"/>
                <w:color w:val="FFFFFF"/>
                <w:sz w:val="22"/>
                <w:szCs w:val="22"/>
              </w:rPr>
            </w:pPr>
            <w:r w:rsidRPr="002E0F94">
              <w:rPr>
                <w:rFonts w:ascii="Calibri" w:hAnsi="Calibri"/>
                <w:color w:val="FFFFFF"/>
                <w:sz w:val="22"/>
                <w:szCs w:val="22"/>
              </w:rPr>
              <w:t> </w:t>
            </w:r>
          </w:p>
        </w:tc>
        <w:tc>
          <w:tcPr>
            <w:tcW w:w="180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19</w:t>
            </w:r>
          </w:p>
        </w:tc>
        <w:tc>
          <w:tcPr>
            <w:tcW w:w="198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495,400</w:t>
            </w:r>
          </w:p>
        </w:tc>
        <w:tc>
          <w:tcPr>
            <w:tcW w:w="234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573,266</w:t>
            </w:r>
          </w:p>
        </w:tc>
        <w:tc>
          <w:tcPr>
            <w:tcW w:w="225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105,529</w:t>
            </w:r>
          </w:p>
        </w:tc>
        <w:tc>
          <w:tcPr>
            <w:tcW w:w="144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3</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12/06/2006</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Razi</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11/15/2006</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 xml:space="preserve">Casa las </w:t>
            </w:r>
            <w:proofErr w:type="spellStart"/>
            <w:r w:rsidRPr="002E0F94">
              <w:rPr>
                <w:rFonts w:ascii="Calibri" w:hAnsi="Calibri"/>
                <w:color w:val="000000"/>
                <w:sz w:val="22"/>
                <w:szCs w:val="22"/>
              </w:rPr>
              <w:t>Trancas</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7,300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730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Fantesca</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10/04/2006</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Fleming</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12,000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3,120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490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strike/>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Rockledge</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15,000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520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280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09/20/2006</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Meadowood</w:t>
            </w:r>
            <w:proofErr w:type="spellEnd"/>
            <w:r w:rsidRPr="002E0F94">
              <w:rPr>
                <w:rFonts w:ascii="Calibri" w:hAnsi="Calibri"/>
                <w:color w:val="000000"/>
                <w:sz w:val="22"/>
                <w:szCs w:val="22"/>
              </w:rPr>
              <w:t xml:space="preserve"> Lane</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28,000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2,184</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340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09/06/2006</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Havens</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85,000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4,345</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08/02/2006</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Waugh</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3,640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30,000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Graeser</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3,120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245</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07/19/2006</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Gamble</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12,000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5,200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550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07/05/2006</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Fontenella</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520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370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06/21/2006</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 xml:space="preserve">Mt </w:t>
            </w:r>
            <w:proofErr w:type="spellStart"/>
            <w:r w:rsidRPr="002E0F94">
              <w:rPr>
                <w:rFonts w:ascii="Calibri" w:hAnsi="Calibri"/>
                <w:color w:val="000000"/>
                <w:sz w:val="22"/>
                <w:szCs w:val="22"/>
              </w:rPr>
              <w:t>Veeder</w:t>
            </w:r>
            <w:proofErr w:type="spellEnd"/>
            <w:r w:rsidRPr="002E0F94">
              <w:rPr>
                <w:rFonts w:ascii="Calibri" w:hAnsi="Calibri"/>
                <w:color w:val="000000"/>
                <w:sz w:val="22"/>
                <w:szCs w:val="22"/>
              </w:rPr>
              <w:t xml:space="preserve"> Springs</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130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Ulitin</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36,000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2,600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280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Fulton</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1,040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06/07/2006</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Bekker</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15,000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416</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130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Yes</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05/03/2006</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Suscol</w:t>
            </w:r>
            <w:proofErr w:type="spellEnd"/>
            <w:r w:rsidRPr="002E0F94">
              <w:rPr>
                <w:rFonts w:ascii="Calibri" w:hAnsi="Calibri"/>
                <w:color w:val="000000"/>
                <w:sz w:val="22"/>
                <w:szCs w:val="22"/>
              </w:rPr>
              <w:t xml:space="preserve"> Creek</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200,000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2,600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Plumpjack</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3,900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750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04/05/2006</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 xml:space="preserve">Cliff </w:t>
            </w:r>
            <w:proofErr w:type="spellStart"/>
            <w:r w:rsidRPr="002E0F94">
              <w:rPr>
                <w:rFonts w:ascii="Calibri" w:hAnsi="Calibri"/>
                <w:color w:val="000000"/>
                <w:sz w:val="22"/>
                <w:szCs w:val="22"/>
              </w:rPr>
              <w:t>Lede</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12,000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1,300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03/15/2006</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proofErr w:type="spellStart"/>
            <w:r w:rsidRPr="002E0F94">
              <w:rPr>
                <w:rFonts w:ascii="Calibri" w:hAnsi="Calibri"/>
                <w:color w:val="000000"/>
                <w:sz w:val="22"/>
                <w:szCs w:val="22"/>
              </w:rPr>
              <w:t>Cuvaison</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27,300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Checkerboard</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15,000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3,900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Except</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03/01/2006</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Sutter Home</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1,560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450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02/01/2006</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Ashe</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2,500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01/18/2006</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Clark-</w:t>
            </w:r>
            <w:proofErr w:type="spellStart"/>
            <w:r w:rsidRPr="002E0F94">
              <w:rPr>
                <w:rFonts w:ascii="Calibri" w:hAnsi="Calibri"/>
                <w:color w:val="000000"/>
                <w:sz w:val="22"/>
                <w:szCs w:val="22"/>
              </w:rPr>
              <w:t>Claudon</w:t>
            </w:r>
            <w:proofErr w:type="spellEnd"/>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New</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20,000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416</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220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 </w:t>
            </w:r>
          </w:p>
        </w:tc>
        <w:tc>
          <w:tcPr>
            <w:tcW w:w="2160" w:type="dxa"/>
            <w:shd w:val="clear" w:color="auto" w:fill="auto"/>
            <w:noWrap/>
            <w:vAlign w:val="bottom"/>
            <w:hideMark/>
          </w:tcPr>
          <w:p w:rsidR="002E0F94" w:rsidRPr="002E0F94" w:rsidRDefault="002E0F94" w:rsidP="002E0F94">
            <w:pPr>
              <w:rPr>
                <w:rFonts w:ascii="Calibri" w:hAnsi="Calibri"/>
                <w:color w:val="000000"/>
                <w:sz w:val="22"/>
                <w:szCs w:val="22"/>
              </w:rPr>
            </w:pPr>
            <w:r w:rsidRPr="002E0F94">
              <w:rPr>
                <w:rFonts w:ascii="Calibri" w:hAnsi="Calibri"/>
                <w:color w:val="000000"/>
                <w:sz w:val="22"/>
                <w:szCs w:val="22"/>
              </w:rPr>
              <w:t>Hall</w:t>
            </w:r>
          </w:p>
        </w:tc>
        <w:tc>
          <w:tcPr>
            <w:tcW w:w="180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Mod</w:t>
            </w:r>
          </w:p>
        </w:tc>
        <w:tc>
          <w:tcPr>
            <w:tcW w:w="198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-1,545,000</w:t>
            </w:r>
          </w:p>
        </w:tc>
        <w:tc>
          <w:tcPr>
            <w:tcW w:w="23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0</w:t>
            </w:r>
          </w:p>
        </w:tc>
        <w:tc>
          <w:tcPr>
            <w:tcW w:w="225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1,200</w:t>
            </w:r>
          </w:p>
        </w:tc>
        <w:tc>
          <w:tcPr>
            <w:tcW w:w="1440" w:type="dxa"/>
            <w:shd w:val="clear" w:color="auto" w:fill="auto"/>
            <w:noWrap/>
            <w:vAlign w:val="bottom"/>
            <w:hideMark/>
          </w:tcPr>
          <w:p w:rsidR="002E0F94" w:rsidRPr="002E0F94" w:rsidRDefault="002E0F94" w:rsidP="002E0F94">
            <w:pPr>
              <w:jc w:val="center"/>
              <w:rPr>
                <w:rFonts w:ascii="Calibri" w:hAnsi="Calibri"/>
                <w:color w:val="000000"/>
                <w:sz w:val="22"/>
                <w:szCs w:val="22"/>
              </w:rPr>
            </w:pPr>
            <w:r w:rsidRPr="002E0F94">
              <w:rPr>
                <w:rFonts w:ascii="Calibri" w:hAnsi="Calibri"/>
                <w:color w:val="000000"/>
                <w:sz w:val="22"/>
                <w:szCs w:val="22"/>
              </w:rPr>
              <w:t>No</w:t>
            </w:r>
          </w:p>
        </w:tc>
      </w:tr>
      <w:tr w:rsidR="002E0F94" w:rsidRPr="002E0F94" w:rsidTr="002E0F94">
        <w:trPr>
          <w:trHeight w:val="300"/>
        </w:trPr>
        <w:tc>
          <w:tcPr>
            <w:tcW w:w="135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2006</w:t>
            </w:r>
          </w:p>
        </w:tc>
        <w:tc>
          <w:tcPr>
            <w:tcW w:w="2160" w:type="dxa"/>
            <w:shd w:val="clear" w:color="000000" w:fill="808080"/>
            <w:noWrap/>
            <w:vAlign w:val="bottom"/>
            <w:hideMark/>
          </w:tcPr>
          <w:p w:rsidR="002E0F94" w:rsidRPr="002E0F94" w:rsidRDefault="002E0F94" w:rsidP="002E0F94">
            <w:pPr>
              <w:rPr>
                <w:rFonts w:ascii="Calibri" w:hAnsi="Calibri"/>
                <w:color w:val="FFFFFF"/>
                <w:sz w:val="22"/>
                <w:szCs w:val="22"/>
              </w:rPr>
            </w:pPr>
            <w:r w:rsidRPr="002E0F94">
              <w:rPr>
                <w:rFonts w:ascii="Calibri" w:hAnsi="Calibri"/>
                <w:color w:val="FFFFFF"/>
                <w:sz w:val="22"/>
                <w:szCs w:val="22"/>
              </w:rPr>
              <w:t> </w:t>
            </w:r>
          </w:p>
        </w:tc>
        <w:tc>
          <w:tcPr>
            <w:tcW w:w="180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24</w:t>
            </w:r>
          </w:p>
        </w:tc>
        <w:tc>
          <w:tcPr>
            <w:tcW w:w="198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-862,500</w:t>
            </w:r>
          </w:p>
        </w:tc>
        <w:tc>
          <w:tcPr>
            <w:tcW w:w="234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72,381</w:t>
            </w:r>
          </w:p>
        </w:tc>
        <w:tc>
          <w:tcPr>
            <w:tcW w:w="225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39,665</w:t>
            </w:r>
          </w:p>
        </w:tc>
        <w:tc>
          <w:tcPr>
            <w:tcW w:w="1440" w:type="dxa"/>
            <w:shd w:val="clear" w:color="000000" w:fill="808080"/>
            <w:noWrap/>
            <w:vAlign w:val="bottom"/>
            <w:hideMark/>
          </w:tcPr>
          <w:p w:rsidR="002E0F94" w:rsidRPr="002E0F94" w:rsidRDefault="002E0F94" w:rsidP="002E0F94">
            <w:pPr>
              <w:jc w:val="center"/>
              <w:rPr>
                <w:rFonts w:ascii="Calibri" w:hAnsi="Calibri"/>
                <w:color w:val="FFFFFF"/>
                <w:sz w:val="22"/>
                <w:szCs w:val="22"/>
              </w:rPr>
            </w:pPr>
            <w:r w:rsidRPr="002E0F94">
              <w:rPr>
                <w:rFonts w:ascii="Calibri" w:hAnsi="Calibri"/>
                <w:color w:val="FFFFFF"/>
                <w:sz w:val="22"/>
                <w:szCs w:val="22"/>
              </w:rPr>
              <w:t>4</w:t>
            </w:r>
          </w:p>
        </w:tc>
      </w:tr>
    </w:tbl>
    <w:p w:rsidR="002E0F94" w:rsidRDefault="002E0F94" w:rsidP="00B0781D">
      <w:pPr>
        <w:tabs>
          <w:tab w:val="left" w:pos="450"/>
        </w:tabs>
        <w:rPr>
          <w:rFonts w:ascii="Palatino Linotype" w:hAnsi="Palatino Linotype" w:cs="Arial"/>
          <w:sz w:val="22"/>
          <w:szCs w:val="22"/>
        </w:rPr>
      </w:pPr>
    </w:p>
    <w:sectPr w:rsidR="002E0F94" w:rsidSect="002E0F94">
      <w:footerReference w:type="default" r:id="rId12"/>
      <w:headerReference w:type="first" r:id="rId13"/>
      <w:pgSz w:w="15840" w:h="24480" w:code="3"/>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71D" w:rsidRDefault="00AB671D">
      <w:r>
        <w:separator/>
      </w:r>
    </w:p>
  </w:endnote>
  <w:endnote w:type="continuationSeparator" w:id="0">
    <w:p w:rsidR="00AB671D" w:rsidRDefault="00AB6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635470"/>
      <w:docPartObj>
        <w:docPartGallery w:val="Page Numbers (Bottom of Page)"/>
        <w:docPartUnique/>
      </w:docPartObj>
    </w:sdtPr>
    <w:sdtEndPr>
      <w:rPr>
        <w:noProof/>
      </w:rPr>
    </w:sdtEndPr>
    <w:sdtContent>
      <w:p w:rsidR="00AB671D" w:rsidRDefault="00AB671D">
        <w:pPr>
          <w:pStyle w:val="Footer"/>
          <w:jc w:val="center"/>
        </w:pPr>
        <w:r>
          <w:fldChar w:fldCharType="begin"/>
        </w:r>
        <w:r>
          <w:instrText xml:space="preserve"> PAGE   \* MERGEFORMAT </w:instrText>
        </w:r>
        <w:r>
          <w:fldChar w:fldCharType="separate"/>
        </w:r>
        <w:r w:rsidR="007E1EB1">
          <w:rPr>
            <w:noProof/>
          </w:rPr>
          <w:t>4</w:t>
        </w:r>
        <w:r>
          <w:rPr>
            <w:noProof/>
          </w:rPr>
          <w:fldChar w:fldCharType="end"/>
        </w:r>
      </w:p>
    </w:sdtContent>
  </w:sdt>
  <w:p w:rsidR="00AB671D" w:rsidRDefault="00AB67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71D" w:rsidRDefault="00AB671D">
      <w:r>
        <w:separator/>
      </w:r>
    </w:p>
  </w:footnote>
  <w:footnote w:type="continuationSeparator" w:id="0">
    <w:p w:rsidR="00AB671D" w:rsidRDefault="00AB6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1D" w:rsidRPr="00FA5BE2" w:rsidRDefault="00AB671D" w:rsidP="00FA5BE2">
    <w:pPr>
      <w:tabs>
        <w:tab w:val="left" w:pos="7380"/>
      </w:tabs>
      <w:jc w:val="right"/>
      <w:rPr>
        <w:rFonts w:ascii="Arial" w:hAnsi="Arial" w:cs="Arial"/>
        <w:sz w:val="16"/>
        <w:szCs w:val="16"/>
      </w:rPr>
    </w:pPr>
    <w:r>
      <w:rPr>
        <w:rFonts w:ascii="Arial" w:hAnsi="Arial" w:cs="Arial"/>
        <w:b/>
        <w:noProof/>
        <w:sz w:val="16"/>
        <w:szCs w:val="16"/>
      </w:rPr>
      <w:drawing>
        <wp:anchor distT="0" distB="0" distL="114300" distR="114300" simplePos="0" relativeHeight="251657728" behindDoc="0" locked="0" layoutInCell="1" allowOverlap="0" wp14:anchorId="4155B933" wp14:editId="10AEC1FB">
          <wp:simplePos x="0" y="0"/>
          <wp:positionH relativeFrom="column">
            <wp:align>left</wp:align>
          </wp:positionH>
          <wp:positionV relativeFrom="paragraph">
            <wp:posOffset>-8890</wp:posOffset>
          </wp:positionV>
          <wp:extent cx="1038225" cy="1362075"/>
          <wp:effectExtent l="19050" t="0" r="9525" b="0"/>
          <wp:wrapSquare wrapText="bothSides"/>
          <wp:docPr id="1" name="Picture 1" descr="se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al3"/>
                  <pic:cNvPicPr>
                    <a:picLocks noChangeAspect="1" noChangeArrowheads="1"/>
                  </pic:cNvPicPr>
                </pic:nvPicPr>
                <pic:blipFill>
                  <a:blip r:embed="rId1"/>
                  <a:srcRect/>
                  <a:stretch>
                    <a:fillRect/>
                  </a:stretch>
                </pic:blipFill>
                <pic:spPr bwMode="auto">
                  <a:xfrm>
                    <a:off x="0" y="0"/>
                    <a:ext cx="1038225" cy="1362075"/>
                  </a:xfrm>
                  <a:prstGeom prst="rect">
                    <a:avLst/>
                  </a:prstGeom>
                  <a:noFill/>
                  <a:ln w="9525">
                    <a:noFill/>
                    <a:miter lim="800000"/>
                    <a:headEnd/>
                    <a:tailEnd/>
                  </a:ln>
                </pic:spPr>
              </pic:pic>
            </a:graphicData>
          </a:graphic>
        </wp:anchor>
      </w:drawing>
    </w:r>
    <w:r>
      <w:rPr>
        <w:rFonts w:ascii="Arial" w:hAnsi="Arial" w:cs="Arial"/>
        <w:b/>
        <w:sz w:val="16"/>
        <w:szCs w:val="16"/>
      </w:rPr>
      <w:t xml:space="preserve"> Planning, Building and Environmental Services</w:t>
    </w:r>
    <w:r w:rsidRPr="00D348D6">
      <w:rPr>
        <w:rFonts w:ascii="Arial" w:hAnsi="Arial" w:cs="Arial"/>
        <w:b/>
        <w:sz w:val="16"/>
        <w:szCs w:val="16"/>
      </w:rPr>
      <w:br/>
    </w:r>
  </w:p>
  <w:p w:rsidR="00AB671D" w:rsidRPr="00D348D6" w:rsidRDefault="00AB671D" w:rsidP="00497909">
    <w:pPr>
      <w:jc w:val="right"/>
      <w:rPr>
        <w:rFonts w:ascii="Arial" w:hAnsi="Arial" w:cs="Arial"/>
        <w:sz w:val="16"/>
        <w:szCs w:val="16"/>
      </w:rPr>
    </w:pPr>
    <w:r>
      <w:rPr>
        <w:rFonts w:ascii="Arial" w:hAnsi="Arial" w:cs="Arial"/>
        <w:sz w:val="16"/>
        <w:szCs w:val="16"/>
      </w:rPr>
      <w:t>1195 Third Street, Suite 210</w:t>
    </w:r>
  </w:p>
  <w:p w:rsidR="00AB671D" w:rsidRPr="00D348D6" w:rsidRDefault="00AB671D" w:rsidP="00497909">
    <w:pPr>
      <w:tabs>
        <w:tab w:val="left" w:pos="4148"/>
        <w:tab w:val="right" w:pos="10080"/>
      </w:tabs>
      <w:rPr>
        <w:rFonts w:ascii="Arial" w:hAnsi="Arial" w:cs="Arial"/>
        <w:sz w:val="16"/>
        <w:szCs w:val="16"/>
      </w:rPr>
    </w:pPr>
    <w:r>
      <w:rPr>
        <w:rFonts w:ascii="Arial" w:hAnsi="Arial" w:cs="Arial"/>
        <w:sz w:val="16"/>
        <w:szCs w:val="16"/>
      </w:rPr>
      <w:tab/>
    </w:r>
    <w:r>
      <w:rPr>
        <w:rFonts w:ascii="Arial" w:hAnsi="Arial" w:cs="Arial"/>
        <w:sz w:val="16"/>
        <w:szCs w:val="16"/>
      </w:rPr>
      <w:tab/>
      <w:t>Napa, CA  94559</w:t>
    </w:r>
    <w:r w:rsidRPr="00D348D6">
      <w:rPr>
        <w:rFonts w:ascii="Arial" w:hAnsi="Arial" w:cs="Arial"/>
        <w:sz w:val="16"/>
        <w:szCs w:val="16"/>
      </w:rPr>
      <w:t xml:space="preserve"> </w:t>
    </w:r>
  </w:p>
  <w:p w:rsidR="00AB671D" w:rsidRPr="00D348D6" w:rsidRDefault="00AB671D" w:rsidP="00497909">
    <w:pPr>
      <w:jc w:val="right"/>
      <w:rPr>
        <w:rFonts w:ascii="Arial" w:hAnsi="Arial" w:cs="Arial"/>
        <w:sz w:val="16"/>
        <w:szCs w:val="16"/>
      </w:rPr>
    </w:pPr>
    <w:r>
      <w:rPr>
        <w:rFonts w:ascii="Arial" w:hAnsi="Arial" w:cs="Arial"/>
        <w:sz w:val="16"/>
        <w:szCs w:val="16"/>
      </w:rPr>
      <w:t>www.co.napa.ca.us</w:t>
    </w:r>
  </w:p>
  <w:p w:rsidR="00AB671D" w:rsidRPr="00D348D6" w:rsidRDefault="00AB671D" w:rsidP="00497909">
    <w:pPr>
      <w:jc w:val="right"/>
      <w:rPr>
        <w:rFonts w:ascii="Arial" w:hAnsi="Arial" w:cs="Arial"/>
        <w:sz w:val="16"/>
        <w:szCs w:val="16"/>
      </w:rPr>
    </w:pPr>
  </w:p>
  <w:p w:rsidR="00AB671D" w:rsidRPr="00D348D6" w:rsidRDefault="00AB671D" w:rsidP="00497909">
    <w:pPr>
      <w:jc w:val="right"/>
      <w:rPr>
        <w:rFonts w:ascii="Arial" w:hAnsi="Arial" w:cs="Arial"/>
        <w:sz w:val="16"/>
        <w:szCs w:val="16"/>
      </w:rPr>
    </w:pPr>
    <w:r w:rsidRPr="00D348D6">
      <w:rPr>
        <w:rFonts w:ascii="Arial" w:hAnsi="Arial" w:cs="Arial"/>
        <w:sz w:val="16"/>
        <w:szCs w:val="16"/>
      </w:rPr>
      <w:t>Main:</w:t>
    </w:r>
    <w:r>
      <w:rPr>
        <w:rFonts w:ascii="Arial" w:hAnsi="Arial" w:cs="Arial"/>
        <w:sz w:val="16"/>
        <w:szCs w:val="16"/>
      </w:rPr>
      <w:t xml:space="preserve"> (707)</w:t>
    </w:r>
    <w:r w:rsidRPr="00D348D6">
      <w:rPr>
        <w:rFonts w:ascii="Arial" w:hAnsi="Arial" w:cs="Arial"/>
        <w:sz w:val="16"/>
        <w:szCs w:val="16"/>
      </w:rPr>
      <w:t xml:space="preserve"> </w:t>
    </w:r>
    <w:r>
      <w:rPr>
        <w:rFonts w:ascii="Arial" w:hAnsi="Arial" w:cs="Arial"/>
        <w:sz w:val="16"/>
        <w:szCs w:val="16"/>
      </w:rPr>
      <w:t>253-4417</w:t>
    </w:r>
  </w:p>
  <w:p w:rsidR="00AB671D" w:rsidRPr="00D348D6" w:rsidRDefault="00AB671D" w:rsidP="00497909">
    <w:pPr>
      <w:jc w:val="right"/>
      <w:rPr>
        <w:rFonts w:ascii="Arial" w:hAnsi="Arial" w:cs="Arial"/>
        <w:sz w:val="16"/>
        <w:szCs w:val="16"/>
      </w:rPr>
    </w:pPr>
    <w:r w:rsidRPr="00D348D6">
      <w:rPr>
        <w:rFonts w:ascii="Arial" w:hAnsi="Arial" w:cs="Arial"/>
        <w:sz w:val="16"/>
        <w:szCs w:val="16"/>
      </w:rPr>
      <w:t xml:space="preserve">Fax: (707) </w:t>
    </w:r>
    <w:r>
      <w:rPr>
        <w:rFonts w:ascii="Arial" w:hAnsi="Arial" w:cs="Arial"/>
        <w:sz w:val="16"/>
        <w:szCs w:val="16"/>
      </w:rPr>
      <w:t>253-4336</w:t>
    </w:r>
  </w:p>
  <w:p w:rsidR="00AB671D" w:rsidRPr="00D348D6" w:rsidRDefault="00AB671D" w:rsidP="00497909">
    <w:pPr>
      <w:jc w:val="right"/>
      <w:rPr>
        <w:rFonts w:ascii="Arial" w:hAnsi="Arial" w:cs="Arial"/>
        <w:b/>
        <w:sz w:val="16"/>
        <w:szCs w:val="16"/>
      </w:rPr>
    </w:pPr>
    <w:r w:rsidRPr="00D348D6">
      <w:rPr>
        <w:rFonts w:ascii="Arial" w:hAnsi="Arial" w:cs="Arial"/>
        <w:sz w:val="16"/>
        <w:szCs w:val="16"/>
      </w:rPr>
      <w:br/>
    </w:r>
    <w:r>
      <w:rPr>
        <w:rFonts w:ascii="Arial" w:hAnsi="Arial" w:cs="Arial"/>
        <w:b/>
        <w:sz w:val="16"/>
        <w:szCs w:val="16"/>
      </w:rPr>
      <w:t>David Morrison</w:t>
    </w:r>
  </w:p>
  <w:p w:rsidR="00AB671D" w:rsidRPr="00D348D6" w:rsidRDefault="00AB671D" w:rsidP="00497909">
    <w:pPr>
      <w:jc w:val="right"/>
      <w:rPr>
        <w:rFonts w:ascii="Arial" w:hAnsi="Arial" w:cs="Arial"/>
        <w:sz w:val="16"/>
        <w:szCs w:val="16"/>
      </w:rPr>
    </w:pPr>
    <w:r>
      <w:rPr>
        <w:rFonts w:ascii="Arial" w:hAnsi="Arial" w:cs="Arial"/>
        <w:sz w:val="16"/>
        <w:szCs w:val="16"/>
      </w:rPr>
      <w:t>Director</w:t>
    </w:r>
  </w:p>
  <w:p w:rsidR="00AB671D" w:rsidRDefault="00AB6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820F9"/>
    <w:multiLevelType w:val="hybridMultilevel"/>
    <w:tmpl w:val="5D1C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4B51CA"/>
    <w:multiLevelType w:val="hybridMultilevel"/>
    <w:tmpl w:val="DED8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22F"/>
    <w:rsid w:val="00001C29"/>
    <w:rsid w:val="00002D3F"/>
    <w:rsid w:val="000132FC"/>
    <w:rsid w:val="000142AD"/>
    <w:rsid w:val="00015FA1"/>
    <w:rsid w:val="00021A82"/>
    <w:rsid w:val="00021E2E"/>
    <w:rsid w:val="000226A2"/>
    <w:rsid w:val="00022EB0"/>
    <w:rsid w:val="00023677"/>
    <w:rsid w:val="00024267"/>
    <w:rsid w:val="00025F22"/>
    <w:rsid w:val="00032ABF"/>
    <w:rsid w:val="000349D9"/>
    <w:rsid w:val="0004396B"/>
    <w:rsid w:val="0004472E"/>
    <w:rsid w:val="00046887"/>
    <w:rsid w:val="00050CDE"/>
    <w:rsid w:val="00050EA8"/>
    <w:rsid w:val="000517F7"/>
    <w:rsid w:val="000527F3"/>
    <w:rsid w:val="000572C4"/>
    <w:rsid w:val="00060806"/>
    <w:rsid w:val="00061178"/>
    <w:rsid w:val="00061BC7"/>
    <w:rsid w:val="000628B2"/>
    <w:rsid w:val="000715E1"/>
    <w:rsid w:val="0007222E"/>
    <w:rsid w:val="00074356"/>
    <w:rsid w:val="000745A5"/>
    <w:rsid w:val="00074F5B"/>
    <w:rsid w:val="000760BB"/>
    <w:rsid w:val="00083957"/>
    <w:rsid w:val="00083FE5"/>
    <w:rsid w:val="00086822"/>
    <w:rsid w:val="0009145C"/>
    <w:rsid w:val="00091C56"/>
    <w:rsid w:val="00094832"/>
    <w:rsid w:val="000A013A"/>
    <w:rsid w:val="000A0521"/>
    <w:rsid w:val="000A1952"/>
    <w:rsid w:val="000A4E6A"/>
    <w:rsid w:val="000A5092"/>
    <w:rsid w:val="000A5AA0"/>
    <w:rsid w:val="000C5A98"/>
    <w:rsid w:val="000D1FD6"/>
    <w:rsid w:val="000D37DF"/>
    <w:rsid w:val="000D56FD"/>
    <w:rsid w:val="000E2CBB"/>
    <w:rsid w:val="000F0B05"/>
    <w:rsid w:val="000F40C8"/>
    <w:rsid w:val="00100525"/>
    <w:rsid w:val="00103AC1"/>
    <w:rsid w:val="00114BAC"/>
    <w:rsid w:val="00120125"/>
    <w:rsid w:val="0012254D"/>
    <w:rsid w:val="0012297D"/>
    <w:rsid w:val="001243D1"/>
    <w:rsid w:val="001268EC"/>
    <w:rsid w:val="00131BF5"/>
    <w:rsid w:val="00131E40"/>
    <w:rsid w:val="00132730"/>
    <w:rsid w:val="00144481"/>
    <w:rsid w:val="001642E2"/>
    <w:rsid w:val="0016733B"/>
    <w:rsid w:val="0017080B"/>
    <w:rsid w:val="00170AC0"/>
    <w:rsid w:val="00172D3F"/>
    <w:rsid w:val="00175ACA"/>
    <w:rsid w:val="0017685D"/>
    <w:rsid w:val="0017775C"/>
    <w:rsid w:val="001812F9"/>
    <w:rsid w:val="00183E23"/>
    <w:rsid w:val="00184819"/>
    <w:rsid w:val="00185F72"/>
    <w:rsid w:val="001878C8"/>
    <w:rsid w:val="00187F30"/>
    <w:rsid w:val="00190590"/>
    <w:rsid w:val="001916AF"/>
    <w:rsid w:val="001928DE"/>
    <w:rsid w:val="001930EE"/>
    <w:rsid w:val="001949C2"/>
    <w:rsid w:val="001B2177"/>
    <w:rsid w:val="001B3645"/>
    <w:rsid w:val="001C2569"/>
    <w:rsid w:val="001D2174"/>
    <w:rsid w:val="001D3047"/>
    <w:rsid w:val="001D3238"/>
    <w:rsid w:val="001D341B"/>
    <w:rsid w:val="001E08EF"/>
    <w:rsid w:val="001E6641"/>
    <w:rsid w:val="001F3C11"/>
    <w:rsid w:val="001F76B6"/>
    <w:rsid w:val="002002B0"/>
    <w:rsid w:val="00204518"/>
    <w:rsid w:val="002054A3"/>
    <w:rsid w:val="0020590F"/>
    <w:rsid w:val="00210822"/>
    <w:rsid w:val="00213D9A"/>
    <w:rsid w:val="0021421E"/>
    <w:rsid w:val="00221AEB"/>
    <w:rsid w:val="00222E34"/>
    <w:rsid w:val="002272F4"/>
    <w:rsid w:val="00230D35"/>
    <w:rsid w:val="00231427"/>
    <w:rsid w:val="002336DC"/>
    <w:rsid w:val="00233BE0"/>
    <w:rsid w:val="0023444D"/>
    <w:rsid w:val="00235DE9"/>
    <w:rsid w:val="00240F34"/>
    <w:rsid w:val="00245714"/>
    <w:rsid w:val="00245B09"/>
    <w:rsid w:val="00250043"/>
    <w:rsid w:val="002503A4"/>
    <w:rsid w:val="002555D3"/>
    <w:rsid w:val="00255841"/>
    <w:rsid w:val="00256C6D"/>
    <w:rsid w:val="002579A0"/>
    <w:rsid w:val="0026134A"/>
    <w:rsid w:val="00266A25"/>
    <w:rsid w:val="002723FC"/>
    <w:rsid w:val="002730A7"/>
    <w:rsid w:val="002809ED"/>
    <w:rsid w:val="00285799"/>
    <w:rsid w:val="00285835"/>
    <w:rsid w:val="00293736"/>
    <w:rsid w:val="00294851"/>
    <w:rsid w:val="00295A91"/>
    <w:rsid w:val="002A0FE5"/>
    <w:rsid w:val="002A2BB9"/>
    <w:rsid w:val="002A4360"/>
    <w:rsid w:val="002A53BC"/>
    <w:rsid w:val="002B2300"/>
    <w:rsid w:val="002B29ED"/>
    <w:rsid w:val="002B4EDC"/>
    <w:rsid w:val="002C0328"/>
    <w:rsid w:val="002C2B00"/>
    <w:rsid w:val="002C5A20"/>
    <w:rsid w:val="002C5FEA"/>
    <w:rsid w:val="002D2548"/>
    <w:rsid w:val="002D2829"/>
    <w:rsid w:val="002D4D8E"/>
    <w:rsid w:val="002D7A8C"/>
    <w:rsid w:val="002E0F94"/>
    <w:rsid w:val="002E17D2"/>
    <w:rsid w:val="002E5D93"/>
    <w:rsid w:val="002E6058"/>
    <w:rsid w:val="002F3BA5"/>
    <w:rsid w:val="002F4145"/>
    <w:rsid w:val="002F5243"/>
    <w:rsid w:val="00306764"/>
    <w:rsid w:val="00307EB5"/>
    <w:rsid w:val="003104D3"/>
    <w:rsid w:val="0031115B"/>
    <w:rsid w:val="003137C8"/>
    <w:rsid w:val="003140CD"/>
    <w:rsid w:val="00315A89"/>
    <w:rsid w:val="00322119"/>
    <w:rsid w:val="00322192"/>
    <w:rsid w:val="003268D7"/>
    <w:rsid w:val="00333CC3"/>
    <w:rsid w:val="00334ECD"/>
    <w:rsid w:val="00341D16"/>
    <w:rsid w:val="00341E69"/>
    <w:rsid w:val="00344883"/>
    <w:rsid w:val="00344ECE"/>
    <w:rsid w:val="003467F5"/>
    <w:rsid w:val="00350B78"/>
    <w:rsid w:val="00355346"/>
    <w:rsid w:val="00355AEE"/>
    <w:rsid w:val="00355BB0"/>
    <w:rsid w:val="0035602F"/>
    <w:rsid w:val="00356697"/>
    <w:rsid w:val="00357AEB"/>
    <w:rsid w:val="003603D9"/>
    <w:rsid w:val="00367533"/>
    <w:rsid w:val="00371043"/>
    <w:rsid w:val="003758EE"/>
    <w:rsid w:val="0037700C"/>
    <w:rsid w:val="00390B0F"/>
    <w:rsid w:val="0039346B"/>
    <w:rsid w:val="003A00CF"/>
    <w:rsid w:val="003A178B"/>
    <w:rsid w:val="003A3742"/>
    <w:rsid w:val="003A5A85"/>
    <w:rsid w:val="003B3A7E"/>
    <w:rsid w:val="003B49C3"/>
    <w:rsid w:val="003C56C1"/>
    <w:rsid w:val="003C575E"/>
    <w:rsid w:val="003C586A"/>
    <w:rsid w:val="003C64A9"/>
    <w:rsid w:val="003D0B6A"/>
    <w:rsid w:val="003D4739"/>
    <w:rsid w:val="003D77E4"/>
    <w:rsid w:val="003E266C"/>
    <w:rsid w:val="003E42BF"/>
    <w:rsid w:val="003E73E0"/>
    <w:rsid w:val="003F6948"/>
    <w:rsid w:val="003F7521"/>
    <w:rsid w:val="003F792B"/>
    <w:rsid w:val="003F7E52"/>
    <w:rsid w:val="00405453"/>
    <w:rsid w:val="004174B0"/>
    <w:rsid w:val="00420535"/>
    <w:rsid w:val="004236C8"/>
    <w:rsid w:val="00426047"/>
    <w:rsid w:val="00432BE8"/>
    <w:rsid w:val="00434863"/>
    <w:rsid w:val="004379E2"/>
    <w:rsid w:val="004429EC"/>
    <w:rsid w:val="004442F2"/>
    <w:rsid w:val="00444D9C"/>
    <w:rsid w:val="00450394"/>
    <w:rsid w:val="00452F84"/>
    <w:rsid w:val="00453A49"/>
    <w:rsid w:val="00463011"/>
    <w:rsid w:val="00471DC0"/>
    <w:rsid w:val="00472499"/>
    <w:rsid w:val="0047352A"/>
    <w:rsid w:val="0047728B"/>
    <w:rsid w:val="00480117"/>
    <w:rsid w:val="00490C7A"/>
    <w:rsid w:val="004919E0"/>
    <w:rsid w:val="00497909"/>
    <w:rsid w:val="004A03B6"/>
    <w:rsid w:val="004A3612"/>
    <w:rsid w:val="004A4EC1"/>
    <w:rsid w:val="004A7152"/>
    <w:rsid w:val="004B0138"/>
    <w:rsid w:val="004B0AFA"/>
    <w:rsid w:val="004B1FAA"/>
    <w:rsid w:val="004B4071"/>
    <w:rsid w:val="004C00C5"/>
    <w:rsid w:val="004D5225"/>
    <w:rsid w:val="004D53F2"/>
    <w:rsid w:val="004D7F13"/>
    <w:rsid w:val="004E2047"/>
    <w:rsid w:val="004E503E"/>
    <w:rsid w:val="004F4961"/>
    <w:rsid w:val="004F53DE"/>
    <w:rsid w:val="0050310C"/>
    <w:rsid w:val="005067C9"/>
    <w:rsid w:val="005157E5"/>
    <w:rsid w:val="00517512"/>
    <w:rsid w:val="005230E7"/>
    <w:rsid w:val="00523CBB"/>
    <w:rsid w:val="00543722"/>
    <w:rsid w:val="00545411"/>
    <w:rsid w:val="00546BBA"/>
    <w:rsid w:val="00553EE4"/>
    <w:rsid w:val="0055627B"/>
    <w:rsid w:val="005604D2"/>
    <w:rsid w:val="00560621"/>
    <w:rsid w:val="00560796"/>
    <w:rsid w:val="005818E1"/>
    <w:rsid w:val="00587041"/>
    <w:rsid w:val="00587AAA"/>
    <w:rsid w:val="00590FB7"/>
    <w:rsid w:val="005A1132"/>
    <w:rsid w:val="005A16F4"/>
    <w:rsid w:val="005A2594"/>
    <w:rsid w:val="005A518A"/>
    <w:rsid w:val="005C00E7"/>
    <w:rsid w:val="005C5D9F"/>
    <w:rsid w:val="005C6D02"/>
    <w:rsid w:val="005D07EC"/>
    <w:rsid w:val="005E1030"/>
    <w:rsid w:val="005E4B8B"/>
    <w:rsid w:val="005F0384"/>
    <w:rsid w:val="005F054B"/>
    <w:rsid w:val="005F10E7"/>
    <w:rsid w:val="005F122F"/>
    <w:rsid w:val="005F2DB8"/>
    <w:rsid w:val="005F7929"/>
    <w:rsid w:val="005F7DB9"/>
    <w:rsid w:val="00604DCF"/>
    <w:rsid w:val="00605DA9"/>
    <w:rsid w:val="00606A99"/>
    <w:rsid w:val="006079F7"/>
    <w:rsid w:val="006113FA"/>
    <w:rsid w:val="006143F2"/>
    <w:rsid w:val="006174D8"/>
    <w:rsid w:val="00617EFC"/>
    <w:rsid w:val="00620734"/>
    <w:rsid w:val="00621327"/>
    <w:rsid w:val="00623F17"/>
    <w:rsid w:val="00627374"/>
    <w:rsid w:val="00630893"/>
    <w:rsid w:val="00631FC0"/>
    <w:rsid w:val="006337F7"/>
    <w:rsid w:val="00637224"/>
    <w:rsid w:val="0064231C"/>
    <w:rsid w:val="00642EFF"/>
    <w:rsid w:val="00646BEF"/>
    <w:rsid w:val="00650B7E"/>
    <w:rsid w:val="00651622"/>
    <w:rsid w:val="00651E75"/>
    <w:rsid w:val="00654823"/>
    <w:rsid w:val="006558A9"/>
    <w:rsid w:val="00655F81"/>
    <w:rsid w:val="0065771A"/>
    <w:rsid w:val="006625F4"/>
    <w:rsid w:val="006628F5"/>
    <w:rsid w:val="00662CF8"/>
    <w:rsid w:val="00670BE7"/>
    <w:rsid w:val="0067619F"/>
    <w:rsid w:val="006769D4"/>
    <w:rsid w:val="00677CE5"/>
    <w:rsid w:val="00680ABF"/>
    <w:rsid w:val="00690368"/>
    <w:rsid w:val="006908AA"/>
    <w:rsid w:val="00692992"/>
    <w:rsid w:val="006A07B7"/>
    <w:rsid w:val="006B025A"/>
    <w:rsid w:val="006B02C4"/>
    <w:rsid w:val="006B1CDB"/>
    <w:rsid w:val="006B73A6"/>
    <w:rsid w:val="006C08FC"/>
    <w:rsid w:val="006C24EA"/>
    <w:rsid w:val="006D4A8D"/>
    <w:rsid w:val="006F001F"/>
    <w:rsid w:val="006F0A57"/>
    <w:rsid w:val="006F2877"/>
    <w:rsid w:val="006F38FF"/>
    <w:rsid w:val="006F39B4"/>
    <w:rsid w:val="006F7F96"/>
    <w:rsid w:val="007069B8"/>
    <w:rsid w:val="007074C2"/>
    <w:rsid w:val="00707C27"/>
    <w:rsid w:val="00712DE9"/>
    <w:rsid w:val="007147BB"/>
    <w:rsid w:val="00714BC8"/>
    <w:rsid w:val="007153A4"/>
    <w:rsid w:val="0071797D"/>
    <w:rsid w:val="00720264"/>
    <w:rsid w:val="007225AC"/>
    <w:rsid w:val="00723CA4"/>
    <w:rsid w:val="00724391"/>
    <w:rsid w:val="00726AC6"/>
    <w:rsid w:val="0073315A"/>
    <w:rsid w:val="0073496F"/>
    <w:rsid w:val="0074288B"/>
    <w:rsid w:val="00742CA6"/>
    <w:rsid w:val="00745D53"/>
    <w:rsid w:val="00747984"/>
    <w:rsid w:val="007521F1"/>
    <w:rsid w:val="00753002"/>
    <w:rsid w:val="0075671D"/>
    <w:rsid w:val="00763C78"/>
    <w:rsid w:val="00765998"/>
    <w:rsid w:val="00766008"/>
    <w:rsid w:val="0076613B"/>
    <w:rsid w:val="00770E8D"/>
    <w:rsid w:val="00777D1B"/>
    <w:rsid w:val="0078053B"/>
    <w:rsid w:val="007838E6"/>
    <w:rsid w:val="007851C8"/>
    <w:rsid w:val="00785211"/>
    <w:rsid w:val="007932D8"/>
    <w:rsid w:val="007937A0"/>
    <w:rsid w:val="00796D10"/>
    <w:rsid w:val="007A1C8F"/>
    <w:rsid w:val="007A3862"/>
    <w:rsid w:val="007A6B50"/>
    <w:rsid w:val="007A7254"/>
    <w:rsid w:val="007B0423"/>
    <w:rsid w:val="007B18B2"/>
    <w:rsid w:val="007B31FE"/>
    <w:rsid w:val="007B3D7B"/>
    <w:rsid w:val="007B5B1A"/>
    <w:rsid w:val="007B65AC"/>
    <w:rsid w:val="007C04EA"/>
    <w:rsid w:val="007C5B72"/>
    <w:rsid w:val="007C6B53"/>
    <w:rsid w:val="007C731D"/>
    <w:rsid w:val="007D2025"/>
    <w:rsid w:val="007D6B5F"/>
    <w:rsid w:val="007D7BFA"/>
    <w:rsid w:val="007E1EB1"/>
    <w:rsid w:val="007E5176"/>
    <w:rsid w:val="007F1563"/>
    <w:rsid w:val="007F1DB3"/>
    <w:rsid w:val="00801F7D"/>
    <w:rsid w:val="0080328E"/>
    <w:rsid w:val="00806083"/>
    <w:rsid w:val="008121BD"/>
    <w:rsid w:val="00812663"/>
    <w:rsid w:val="00813CA8"/>
    <w:rsid w:val="008151ED"/>
    <w:rsid w:val="00825091"/>
    <w:rsid w:val="00827FFB"/>
    <w:rsid w:val="0083356B"/>
    <w:rsid w:val="00837BE6"/>
    <w:rsid w:val="00840C92"/>
    <w:rsid w:val="008435C2"/>
    <w:rsid w:val="008458D0"/>
    <w:rsid w:val="00853B55"/>
    <w:rsid w:val="00860901"/>
    <w:rsid w:val="00860E2F"/>
    <w:rsid w:val="008679F9"/>
    <w:rsid w:val="00871005"/>
    <w:rsid w:val="00874413"/>
    <w:rsid w:val="00876052"/>
    <w:rsid w:val="008775DA"/>
    <w:rsid w:val="00880184"/>
    <w:rsid w:val="008810B8"/>
    <w:rsid w:val="00886247"/>
    <w:rsid w:val="0088676E"/>
    <w:rsid w:val="008905EB"/>
    <w:rsid w:val="00890C82"/>
    <w:rsid w:val="008927D8"/>
    <w:rsid w:val="00895F72"/>
    <w:rsid w:val="008A04DF"/>
    <w:rsid w:val="008A1081"/>
    <w:rsid w:val="008A2EF9"/>
    <w:rsid w:val="008A34F0"/>
    <w:rsid w:val="008A6902"/>
    <w:rsid w:val="008A782F"/>
    <w:rsid w:val="008B4E49"/>
    <w:rsid w:val="008C1882"/>
    <w:rsid w:val="008C1CEC"/>
    <w:rsid w:val="008C2FA7"/>
    <w:rsid w:val="008C4BEC"/>
    <w:rsid w:val="008C730D"/>
    <w:rsid w:val="008D0D53"/>
    <w:rsid w:val="008D1325"/>
    <w:rsid w:val="008D1B4B"/>
    <w:rsid w:val="008D635E"/>
    <w:rsid w:val="008D7AC6"/>
    <w:rsid w:val="008F5355"/>
    <w:rsid w:val="008F5A2F"/>
    <w:rsid w:val="008F7180"/>
    <w:rsid w:val="0090209D"/>
    <w:rsid w:val="00904373"/>
    <w:rsid w:val="009067BC"/>
    <w:rsid w:val="009100CC"/>
    <w:rsid w:val="00910550"/>
    <w:rsid w:val="00910C51"/>
    <w:rsid w:val="00912EFA"/>
    <w:rsid w:val="00917367"/>
    <w:rsid w:val="00924013"/>
    <w:rsid w:val="00925858"/>
    <w:rsid w:val="00931D97"/>
    <w:rsid w:val="0093524C"/>
    <w:rsid w:val="00936B45"/>
    <w:rsid w:val="009407BD"/>
    <w:rsid w:val="0094155D"/>
    <w:rsid w:val="0094449C"/>
    <w:rsid w:val="00947D06"/>
    <w:rsid w:val="009502CE"/>
    <w:rsid w:val="009506D5"/>
    <w:rsid w:val="00954166"/>
    <w:rsid w:val="00960117"/>
    <w:rsid w:val="009606ED"/>
    <w:rsid w:val="00960CE0"/>
    <w:rsid w:val="009614A9"/>
    <w:rsid w:val="00961E6B"/>
    <w:rsid w:val="009711D2"/>
    <w:rsid w:val="00972B29"/>
    <w:rsid w:val="0097322D"/>
    <w:rsid w:val="009775E1"/>
    <w:rsid w:val="00987D02"/>
    <w:rsid w:val="009915E5"/>
    <w:rsid w:val="00995DC3"/>
    <w:rsid w:val="009A0471"/>
    <w:rsid w:val="009A1838"/>
    <w:rsid w:val="009A31F0"/>
    <w:rsid w:val="009A76CC"/>
    <w:rsid w:val="009A7BE6"/>
    <w:rsid w:val="009A7C53"/>
    <w:rsid w:val="009B11CF"/>
    <w:rsid w:val="009B1A46"/>
    <w:rsid w:val="009B24DD"/>
    <w:rsid w:val="009B380A"/>
    <w:rsid w:val="009C0977"/>
    <w:rsid w:val="009C261F"/>
    <w:rsid w:val="009C41C3"/>
    <w:rsid w:val="009D2086"/>
    <w:rsid w:val="009D47E3"/>
    <w:rsid w:val="009D61BA"/>
    <w:rsid w:val="009E1BBD"/>
    <w:rsid w:val="009E7AB3"/>
    <w:rsid w:val="009F693B"/>
    <w:rsid w:val="00A048EA"/>
    <w:rsid w:val="00A0740E"/>
    <w:rsid w:val="00A07B60"/>
    <w:rsid w:val="00A11193"/>
    <w:rsid w:val="00A21691"/>
    <w:rsid w:val="00A240DF"/>
    <w:rsid w:val="00A24879"/>
    <w:rsid w:val="00A313AE"/>
    <w:rsid w:val="00A34A1F"/>
    <w:rsid w:val="00A44113"/>
    <w:rsid w:val="00A46429"/>
    <w:rsid w:val="00A5199E"/>
    <w:rsid w:val="00A614DD"/>
    <w:rsid w:val="00A65916"/>
    <w:rsid w:val="00A66991"/>
    <w:rsid w:val="00A709A9"/>
    <w:rsid w:val="00A71D19"/>
    <w:rsid w:val="00A72156"/>
    <w:rsid w:val="00A76D49"/>
    <w:rsid w:val="00A7732E"/>
    <w:rsid w:val="00A81F7B"/>
    <w:rsid w:val="00A92994"/>
    <w:rsid w:val="00A94809"/>
    <w:rsid w:val="00AA0A52"/>
    <w:rsid w:val="00AA4305"/>
    <w:rsid w:val="00AB1960"/>
    <w:rsid w:val="00AB25B5"/>
    <w:rsid w:val="00AB671D"/>
    <w:rsid w:val="00AB72BF"/>
    <w:rsid w:val="00AB7AF9"/>
    <w:rsid w:val="00AC00B2"/>
    <w:rsid w:val="00AC134F"/>
    <w:rsid w:val="00AF473F"/>
    <w:rsid w:val="00B0781D"/>
    <w:rsid w:val="00B15C97"/>
    <w:rsid w:val="00B23A87"/>
    <w:rsid w:val="00B24614"/>
    <w:rsid w:val="00B2786C"/>
    <w:rsid w:val="00B32586"/>
    <w:rsid w:val="00B34FB5"/>
    <w:rsid w:val="00B35DBC"/>
    <w:rsid w:val="00B3641E"/>
    <w:rsid w:val="00B41EB5"/>
    <w:rsid w:val="00B46026"/>
    <w:rsid w:val="00B469A9"/>
    <w:rsid w:val="00B51609"/>
    <w:rsid w:val="00B530EA"/>
    <w:rsid w:val="00B572AF"/>
    <w:rsid w:val="00B72E70"/>
    <w:rsid w:val="00B8040C"/>
    <w:rsid w:val="00B80EBF"/>
    <w:rsid w:val="00B84BE0"/>
    <w:rsid w:val="00B86588"/>
    <w:rsid w:val="00B906F9"/>
    <w:rsid w:val="00B91F75"/>
    <w:rsid w:val="00B9214E"/>
    <w:rsid w:val="00B94C44"/>
    <w:rsid w:val="00B95469"/>
    <w:rsid w:val="00B974E8"/>
    <w:rsid w:val="00BA0426"/>
    <w:rsid w:val="00BA3BD4"/>
    <w:rsid w:val="00BA63A2"/>
    <w:rsid w:val="00BA72C2"/>
    <w:rsid w:val="00BB386D"/>
    <w:rsid w:val="00BB4403"/>
    <w:rsid w:val="00BB497D"/>
    <w:rsid w:val="00BB5646"/>
    <w:rsid w:val="00BC20F3"/>
    <w:rsid w:val="00BC2A39"/>
    <w:rsid w:val="00BC3F95"/>
    <w:rsid w:val="00BC54D1"/>
    <w:rsid w:val="00BD32B5"/>
    <w:rsid w:val="00BE1E32"/>
    <w:rsid w:val="00BE47EC"/>
    <w:rsid w:val="00BE5BAB"/>
    <w:rsid w:val="00BE7142"/>
    <w:rsid w:val="00BE7844"/>
    <w:rsid w:val="00BF11F0"/>
    <w:rsid w:val="00BF13D7"/>
    <w:rsid w:val="00BF1885"/>
    <w:rsid w:val="00BF5250"/>
    <w:rsid w:val="00BF57D4"/>
    <w:rsid w:val="00C05873"/>
    <w:rsid w:val="00C12C4B"/>
    <w:rsid w:val="00C15F35"/>
    <w:rsid w:val="00C16DE8"/>
    <w:rsid w:val="00C17BEE"/>
    <w:rsid w:val="00C21FFC"/>
    <w:rsid w:val="00C23664"/>
    <w:rsid w:val="00C320C0"/>
    <w:rsid w:val="00C32EA2"/>
    <w:rsid w:val="00C369A0"/>
    <w:rsid w:val="00C417D9"/>
    <w:rsid w:val="00C41896"/>
    <w:rsid w:val="00C44F25"/>
    <w:rsid w:val="00C45C7C"/>
    <w:rsid w:val="00C47C9F"/>
    <w:rsid w:val="00C51D98"/>
    <w:rsid w:val="00C60C60"/>
    <w:rsid w:val="00C62033"/>
    <w:rsid w:val="00C6327C"/>
    <w:rsid w:val="00C659EA"/>
    <w:rsid w:val="00C67D66"/>
    <w:rsid w:val="00C705BE"/>
    <w:rsid w:val="00C71E02"/>
    <w:rsid w:val="00C720F9"/>
    <w:rsid w:val="00C76DF6"/>
    <w:rsid w:val="00C861FA"/>
    <w:rsid w:val="00C87523"/>
    <w:rsid w:val="00C8784C"/>
    <w:rsid w:val="00CA0FFC"/>
    <w:rsid w:val="00CA2EC5"/>
    <w:rsid w:val="00CA4FA2"/>
    <w:rsid w:val="00CA65DA"/>
    <w:rsid w:val="00CB2359"/>
    <w:rsid w:val="00CB43F1"/>
    <w:rsid w:val="00CB5F8E"/>
    <w:rsid w:val="00CB7EAE"/>
    <w:rsid w:val="00CC0190"/>
    <w:rsid w:val="00CC1015"/>
    <w:rsid w:val="00CC41E9"/>
    <w:rsid w:val="00CC43CE"/>
    <w:rsid w:val="00CD01DE"/>
    <w:rsid w:val="00CD0F0D"/>
    <w:rsid w:val="00CD13B2"/>
    <w:rsid w:val="00CD21FC"/>
    <w:rsid w:val="00CD6AC5"/>
    <w:rsid w:val="00CD725A"/>
    <w:rsid w:val="00CE03B6"/>
    <w:rsid w:val="00CE36F1"/>
    <w:rsid w:val="00CE3F17"/>
    <w:rsid w:val="00CE7816"/>
    <w:rsid w:val="00CE7F69"/>
    <w:rsid w:val="00CF116C"/>
    <w:rsid w:val="00CF1973"/>
    <w:rsid w:val="00D10191"/>
    <w:rsid w:val="00D105DC"/>
    <w:rsid w:val="00D123A6"/>
    <w:rsid w:val="00D17068"/>
    <w:rsid w:val="00D172FC"/>
    <w:rsid w:val="00D214D0"/>
    <w:rsid w:val="00D22323"/>
    <w:rsid w:val="00D24CB4"/>
    <w:rsid w:val="00D257D8"/>
    <w:rsid w:val="00D27239"/>
    <w:rsid w:val="00D3204A"/>
    <w:rsid w:val="00D320D3"/>
    <w:rsid w:val="00D324D5"/>
    <w:rsid w:val="00D333B2"/>
    <w:rsid w:val="00D340F4"/>
    <w:rsid w:val="00D348D6"/>
    <w:rsid w:val="00D36362"/>
    <w:rsid w:val="00D40E18"/>
    <w:rsid w:val="00D43254"/>
    <w:rsid w:val="00D50E4F"/>
    <w:rsid w:val="00D518DC"/>
    <w:rsid w:val="00D525BA"/>
    <w:rsid w:val="00D54682"/>
    <w:rsid w:val="00D55025"/>
    <w:rsid w:val="00D57C99"/>
    <w:rsid w:val="00D60497"/>
    <w:rsid w:val="00D611E1"/>
    <w:rsid w:val="00D63563"/>
    <w:rsid w:val="00D655A9"/>
    <w:rsid w:val="00D8589C"/>
    <w:rsid w:val="00D86EF1"/>
    <w:rsid w:val="00D918CA"/>
    <w:rsid w:val="00D968AE"/>
    <w:rsid w:val="00DA1CC9"/>
    <w:rsid w:val="00DA2932"/>
    <w:rsid w:val="00DB1B63"/>
    <w:rsid w:val="00DB49AA"/>
    <w:rsid w:val="00DB4CC2"/>
    <w:rsid w:val="00DB5E3F"/>
    <w:rsid w:val="00DB6430"/>
    <w:rsid w:val="00DB65B0"/>
    <w:rsid w:val="00DB7904"/>
    <w:rsid w:val="00DC03AC"/>
    <w:rsid w:val="00DC1071"/>
    <w:rsid w:val="00DC46AF"/>
    <w:rsid w:val="00DD168C"/>
    <w:rsid w:val="00DD3C05"/>
    <w:rsid w:val="00DE149A"/>
    <w:rsid w:val="00DE20E1"/>
    <w:rsid w:val="00DE58B8"/>
    <w:rsid w:val="00DF179A"/>
    <w:rsid w:val="00DF271C"/>
    <w:rsid w:val="00DF3FE2"/>
    <w:rsid w:val="00DF4147"/>
    <w:rsid w:val="00DF4EC8"/>
    <w:rsid w:val="00DF77EB"/>
    <w:rsid w:val="00E02E52"/>
    <w:rsid w:val="00E12E95"/>
    <w:rsid w:val="00E14334"/>
    <w:rsid w:val="00E15BD0"/>
    <w:rsid w:val="00E16076"/>
    <w:rsid w:val="00E16769"/>
    <w:rsid w:val="00E17991"/>
    <w:rsid w:val="00E20221"/>
    <w:rsid w:val="00E2039E"/>
    <w:rsid w:val="00E26457"/>
    <w:rsid w:val="00E27A0C"/>
    <w:rsid w:val="00E30014"/>
    <w:rsid w:val="00E32049"/>
    <w:rsid w:val="00E35CB1"/>
    <w:rsid w:val="00E4387A"/>
    <w:rsid w:val="00E439FD"/>
    <w:rsid w:val="00E43B7A"/>
    <w:rsid w:val="00E47F7D"/>
    <w:rsid w:val="00E53990"/>
    <w:rsid w:val="00E54DD9"/>
    <w:rsid w:val="00E5540B"/>
    <w:rsid w:val="00E61830"/>
    <w:rsid w:val="00E61ABF"/>
    <w:rsid w:val="00E63C6E"/>
    <w:rsid w:val="00E63C98"/>
    <w:rsid w:val="00E6429B"/>
    <w:rsid w:val="00E650FC"/>
    <w:rsid w:val="00E66479"/>
    <w:rsid w:val="00E71375"/>
    <w:rsid w:val="00E737B1"/>
    <w:rsid w:val="00E8562C"/>
    <w:rsid w:val="00E85B74"/>
    <w:rsid w:val="00E907B5"/>
    <w:rsid w:val="00E9560B"/>
    <w:rsid w:val="00EA1770"/>
    <w:rsid w:val="00EA5C58"/>
    <w:rsid w:val="00EA7FF8"/>
    <w:rsid w:val="00EB0957"/>
    <w:rsid w:val="00EB2164"/>
    <w:rsid w:val="00EB3F7D"/>
    <w:rsid w:val="00EB42D9"/>
    <w:rsid w:val="00EB5129"/>
    <w:rsid w:val="00EB55D6"/>
    <w:rsid w:val="00EC05A7"/>
    <w:rsid w:val="00EC0671"/>
    <w:rsid w:val="00EC2252"/>
    <w:rsid w:val="00EC43A6"/>
    <w:rsid w:val="00ED074F"/>
    <w:rsid w:val="00ED5617"/>
    <w:rsid w:val="00ED561E"/>
    <w:rsid w:val="00ED639E"/>
    <w:rsid w:val="00EE76D0"/>
    <w:rsid w:val="00EF318E"/>
    <w:rsid w:val="00EF3F05"/>
    <w:rsid w:val="00EF7386"/>
    <w:rsid w:val="00F0742C"/>
    <w:rsid w:val="00F07790"/>
    <w:rsid w:val="00F078A8"/>
    <w:rsid w:val="00F161CB"/>
    <w:rsid w:val="00F214BC"/>
    <w:rsid w:val="00F2193F"/>
    <w:rsid w:val="00F222C8"/>
    <w:rsid w:val="00F227B7"/>
    <w:rsid w:val="00F37D8C"/>
    <w:rsid w:val="00F41568"/>
    <w:rsid w:val="00F44717"/>
    <w:rsid w:val="00F473C2"/>
    <w:rsid w:val="00F50551"/>
    <w:rsid w:val="00F52252"/>
    <w:rsid w:val="00F52A87"/>
    <w:rsid w:val="00F53F6B"/>
    <w:rsid w:val="00F54A24"/>
    <w:rsid w:val="00F606A1"/>
    <w:rsid w:val="00F60E6A"/>
    <w:rsid w:val="00F6179A"/>
    <w:rsid w:val="00F64084"/>
    <w:rsid w:val="00F657AD"/>
    <w:rsid w:val="00F67A78"/>
    <w:rsid w:val="00F73ACD"/>
    <w:rsid w:val="00F745DF"/>
    <w:rsid w:val="00F805F7"/>
    <w:rsid w:val="00F83B83"/>
    <w:rsid w:val="00F85C99"/>
    <w:rsid w:val="00F85E56"/>
    <w:rsid w:val="00F867DD"/>
    <w:rsid w:val="00F87ED1"/>
    <w:rsid w:val="00F90492"/>
    <w:rsid w:val="00F9205C"/>
    <w:rsid w:val="00F93D18"/>
    <w:rsid w:val="00F94A76"/>
    <w:rsid w:val="00F959C0"/>
    <w:rsid w:val="00F96E47"/>
    <w:rsid w:val="00FA0C1D"/>
    <w:rsid w:val="00FA1988"/>
    <w:rsid w:val="00FA43EA"/>
    <w:rsid w:val="00FA565A"/>
    <w:rsid w:val="00FA572C"/>
    <w:rsid w:val="00FA5BE2"/>
    <w:rsid w:val="00FB1037"/>
    <w:rsid w:val="00FB5ECD"/>
    <w:rsid w:val="00FB647D"/>
    <w:rsid w:val="00FC165E"/>
    <w:rsid w:val="00FC1EED"/>
    <w:rsid w:val="00FD50EB"/>
    <w:rsid w:val="00FD709E"/>
    <w:rsid w:val="00FE05BB"/>
    <w:rsid w:val="00FE3179"/>
    <w:rsid w:val="00FE3A2A"/>
    <w:rsid w:val="00FE3F31"/>
    <w:rsid w:val="00FE450F"/>
    <w:rsid w:val="00FE582F"/>
    <w:rsid w:val="00FE70D9"/>
    <w:rsid w:val="00FF24D1"/>
    <w:rsid w:val="00FF39DE"/>
    <w:rsid w:val="00FF6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6822"/>
    <w:rPr>
      <w:sz w:val="24"/>
      <w:szCs w:val="24"/>
    </w:rPr>
  </w:style>
  <w:style w:type="paragraph" w:styleId="Heading2">
    <w:name w:val="heading 2"/>
    <w:basedOn w:val="Normal"/>
    <w:next w:val="Normal"/>
    <w:qFormat/>
    <w:rsid w:val="00765998"/>
    <w:pPr>
      <w:keepNext/>
      <w:tabs>
        <w:tab w:val="left" w:pos="-720"/>
      </w:tabs>
      <w:suppressAutoHyphens/>
      <w:ind w:right="72"/>
      <w:jc w:val="center"/>
      <w:outlineLvl w:val="1"/>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C54D1"/>
    <w:rPr>
      <w:rFonts w:ascii="Tahoma" w:hAnsi="Tahoma" w:cs="Tahoma"/>
      <w:sz w:val="16"/>
      <w:szCs w:val="16"/>
    </w:rPr>
  </w:style>
  <w:style w:type="character" w:customStyle="1" w:styleId="BalloonTextChar">
    <w:name w:val="Balloon Text Char"/>
    <w:basedOn w:val="DefaultParagraphFont"/>
    <w:link w:val="BalloonText"/>
    <w:uiPriority w:val="99"/>
    <w:semiHidden/>
    <w:rsid w:val="00677CE5"/>
    <w:rPr>
      <w:rFonts w:ascii="Tahoma" w:hAnsi="Tahoma" w:cs="Tahoma"/>
      <w:sz w:val="16"/>
      <w:szCs w:val="16"/>
    </w:rPr>
  </w:style>
  <w:style w:type="character" w:styleId="Hyperlink">
    <w:name w:val="Hyperlink"/>
    <w:basedOn w:val="DefaultParagraphFont"/>
    <w:uiPriority w:val="99"/>
    <w:rsid w:val="00BC54D1"/>
    <w:rPr>
      <w:color w:val="0000FF"/>
      <w:u w:val="single"/>
    </w:rPr>
  </w:style>
  <w:style w:type="paragraph" w:styleId="Header">
    <w:name w:val="header"/>
    <w:basedOn w:val="Normal"/>
    <w:link w:val="HeaderChar"/>
    <w:uiPriority w:val="99"/>
    <w:rsid w:val="00BC54D1"/>
    <w:pPr>
      <w:tabs>
        <w:tab w:val="center" w:pos="4320"/>
        <w:tab w:val="right" w:pos="8640"/>
      </w:tabs>
    </w:pPr>
  </w:style>
  <w:style w:type="character" w:customStyle="1" w:styleId="HeaderChar">
    <w:name w:val="Header Char"/>
    <w:basedOn w:val="DefaultParagraphFont"/>
    <w:link w:val="Header"/>
    <w:uiPriority w:val="99"/>
    <w:rsid w:val="00677CE5"/>
    <w:rPr>
      <w:sz w:val="24"/>
      <w:szCs w:val="24"/>
    </w:rPr>
  </w:style>
  <w:style w:type="paragraph" w:styleId="Footer">
    <w:name w:val="footer"/>
    <w:basedOn w:val="Normal"/>
    <w:link w:val="FooterChar"/>
    <w:uiPriority w:val="99"/>
    <w:rsid w:val="00BC54D1"/>
    <w:pPr>
      <w:tabs>
        <w:tab w:val="center" w:pos="4320"/>
        <w:tab w:val="right" w:pos="8640"/>
      </w:tabs>
    </w:pPr>
  </w:style>
  <w:style w:type="character" w:customStyle="1" w:styleId="FooterChar">
    <w:name w:val="Footer Char"/>
    <w:basedOn w:val="DefaultParagraphFont"/>
    <w:link w:val="Footer"/>
    <w:uiPriority w:val="99"/>
    <w:rsid w:val="00BF5250"/>
    <w:rPr>
      <w:sz w:val="24"/>
      <w:szCs w:val="24"/>
    </w:rPr>
  </w:style>
  <w:style w:type="character" w:customStyle="1" w:styleId="pbxdeptmain">
    <w:name w:val="pbxdeptmain"/>
    <w:basedOn w:val="DefaultParagraphFont"/>
    <w:rsid w:val="00C71E02"/>
  </w:style>
  <w:style w:type="character" w:styleId="CommentReference">
    <w:name w:val="annotation reference"/>
    <w:basedOn w:val="DefaultParagraphFont"/>
    <w:semiHidden/>
    <w:rsid w:val="006F7F96"/>
    <w:rPr>
      <w:sz w:val="16"/>
      <w:szCs w:val="16"/>
    </w:rPr>
  </w:style>
  <w:style w:type="paragraph" w:styleId="CommentText">
    <w:name w:val="annotation text"/>
    <w:basedOn w:val="Normal"/>
    <w:semiHidden/>
    <w:rsid w:val="006F7F96"/>
    <w:rPr>
      <w:sz w:val="20"/>
      <w:szCs w:val="20"/>
    </w:rPr>
  </w:style>
  <w:style w:type="paragraph" w:styleId="CommentSubject">
    <w:name w:val="annotation subject"/>
    <w:basedOn w:val="CommentText"/>
    <w:next w:val="CommentText"/>
    <w:semiHidden/>
    <w:rsid w:val="006F7F96"/>
    <w:rPr>
      <w:b/>
      <w:bCs/>
    </w:rPr>
  </w:style>
  <w:style w:type="table" w:styleId="TableGrid">
    <w:name w:val="Table Grid"/>
    <w:basedOn w:val="TableNormal"/>
    <w:uiPriority w:val="59"/>
    <w:rsid w:val="003B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65998"/>
    <w:pPr>
      <w:spacing w:after="240"/>
      <w:jc w:val="both"/>
    </w:pPr>
    <w:rPr>
      <w:rFonts w:ascii="Arial" w:hAnsi="Arial"/>
      <w:i/>
      <w:iCs/>
    </w:rPr>
  </w:style>
  <w:style w:type="character" w:styleId="PageNumber">
    <w:name w:val="page number"/>
    <w:basedOn w:val="DefaultParagraphFont"/>
    <w:rsid w:val="00765998"/>
  </w:style>
  <w:style w:type="paragraph" w:styleId="BodyTextIndent">
    <w:name w:val="Body Text Indent"/>
    <w:basedOn w:val="Normal"/>
    <w:rsid w:val="00765998"/>
    <w:pPr>
      <w:ind w:left="1800"/>
    </w:pPr>
    <w:rPr>
      <w:rFonts w:ascii="Arial" w:hAnsi="Arial"/>
    </w:rPr>
  </w:style>
  <w:style w:type="paragraph" w:styleId="BodyTextIndent3">
    <w:name w:val="Body Text Indent 3"/>
    <w:basedOn w:val="Normal"/>
    <w:rsid w:val="00765998"/>
    <w:pPr>
      <w:spacing w:after="120"/>
      <w:ind w:left="360"/>
    </w:pPr>
    <w:rPr>
      <w:rFonts w:ascii="Arial" w:hAnsi="Arial"/>
      <w:sz w:val="16"/>
      <w:szCs w:val="16"/>
    </w:rPr>
  </w:style>
  <w:style w:type="paragraph" w:styleId="BlockText">
    <w:name w:val="Block Text"/>
    <w:basedOn w:val="Normal"/>
    <w:rsid w:val="00DB65B0"/>
    <w:pPr>
      <w:ind w:left="720" w:right="720"/>
      <w:jc w:val="both"/>
    </w:pPr>
    <w:rPr>
      <w:rFonts w:ascii="Univers" w:hAnsi="Univers"/>
      <w:szCs w:val="20"/>
    </w:rPr>
  </w:style>
  <w:style w:type="paragraph" w:customStyle="1" w:styleId="Default">
    <w:name w:val="Default"/>
    <w:rsid w:val="007074C2"/>
    <w:pPr>
      <w:autoSpaceDE w:val="0"/>
      <w:autoSpaceDN w:val="0"/>
      <w:adjustRightInd w:val="0"/>
    </w:pPr>
    <w:rPr>
      <w:rFonts w:ascii="Palatino Linotype" w:hAnsi="Palatino Linotype" w:cs="Palatino Linotype"/>
      <w:color w:val="000000"/>
      <w:sz w:val="24"/>
      <w:szCs w:val="24"/>
    </w:rPr>
  </w:style>
  <w:style w:type="paragraph" w:styleId="ListParagraph">
    <w:name w:val="List Paragraph"/>
    <w:basedOn w:val="Normal"/>
    <w:uiPriority w:val="34"/>
    <w:qFormat/>
    <w:rsid w:val="00D105DC"/>
    <w:pPr>
      <w:ind w:left="720"/>
      <w:contextualSpacing/>
    </w:pPr>
  </w:style>
  <w:style w:type="table" w:customStyle="1" w:styleId="TableGrid2">
    <w:name w:val="Table Grid2"/>
    <w:basedOn w:val="TableNormal"/>
    <w:next w:val="TableGrid"/>
    <w:uiPriority w:val="59"/>
    <w:rsid w:val="00677C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A0FFC"/>
    <w:pPr>
      <w:spacing w:before="100" w:beforeAutospacing="1" w:after="100" w:afterAutospacing="1"/>
    </w:pPr>
  </w:style>
  <w:style w:type="character" w:customStyle="1" w:styleId="apple-tab-span">
    <w:name w:val="apple-tab-span"/>
    <w:basedOn w:val="DefaultParagraphFont"/>
    <w:rsid w:val="00083FE5"/>
  </w:style>
  <w:style w:type="character" w:styleId="FollowedHyperlink">
    <w:name w:val="FollowedHyperlink"/>
    <w:basedOn w:val="DefaultParagraphFont"/>
    <w:uiPriority w:val="99"/>
    <w:unhideWhenUsed/>
    <w:rsid w:val="002E0F94"/>
    <w:rPr>
      <w:color w:val="800080"/>
      <w:u w:val="single"/>
    </w:rPr>
  </w:style>
  <w:style w:type="paragraph" w:customStyle="1" w:styleId="font5">
    <w:name w:val="font5"/>
    <w:basedOn w:val="Normal"/>
    <w:rsid w:val="002E0F94"/>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2E0F94"/>
    <w:pPr>
      <w:spacing w:before="100" w:beforeAutospacing="1" w:after="100" w:afterAutospacing="1"/>
    </w:pPr>
    <w:rPr>
      <w:rFonts w:ascii="Tahoma" w:hAnsi="Tahoma" w:cs="Tahoma"/>
      <w:color w:val="000000"/>
      <w:sz w:val="18"/>
      <w:szCs w:val="18"/>
    </w:rPr>
  </w:style>
  <w:style w:type="paragraph" w:customStyle="1" w:styleId="xl63">
    <w:name w:val="xl63"/>
    <w:basedOn w:val="Normal"/>
    <w:rsid w:val="002E0F94"/>
    <w:pPr>
      <w:spacing w:before="100" w:beforeAutospacing="1" w:after="100" w:afterAutospacing="1"/>
      <w:jc w:val="center"/>
    </w:pPr>
  </w:style>
  <w:style w:type="paragraph" w:customStyle="1" w:styleId="xl64">
    <w:name w:val="xl64"/>
    <w:basedOn w:val="Normal"/>
    <w:rsid w:val="002E0F94"/>
    <w:pPr>
      <w:spacing w:before="100" w:beforeAutospacing="1" w:after="100" w:afterAutospacing="1"/>
      <w:jc w:val="center"/>
    </w:pPr>
  </w:style>
  <w:style w:type="paragraph" w:customStyle="1" w:styleId="xl65">
    <w:name w:val="xl65"/>
    <w:basedOn w:val="Normal"/>
    <w:rsid w:val="002E0F94"/>
    <w:pPr>
      <w:spacing w:before="100" w:beforeAutospacing="1" w:after="100" w:afterAutospacing="1"/>
    </w:pPr>
  </w:style>
  <w:style w:type="paragraph" w:customStyle="1" w:styleId="xl66">
    <w:name w:val="xl66"/>
    <w:basedOn w:val="Normal"/>
    <w:rsid w:val="002E0F94"/>
    <w:pPr>
      <w:pBdr>
        <w:top w:val="single" w:sz="4" w:space="0" w:color="auto"/>
        <w:bottom w:val="single" w:sz="4" w:space="0" w:color="auto"/>
      </w:pBdr>
      <w:spacing w:before="100" w:beforeAutospacing="1" w:after="100" w:afterAutospacing="1"/>
      <w:jc w:val="center"/>
    </w:pPr>
  </w:style>
  <w:style w:type="paragraph" w:customStyle="1" w:styleId="xl67">
    <w:name w:val="xl67"/>
    <w:basedOn w:val="Normal"/>
    <w:rsid w:val="002E0F94"/>
    <w:pPr>
      <w:pBdr>
        <w:top w:val="single" w:sz="4" w:space="0" w:color="auto"/>
        <w:bottom w:val="single" w:sz="4" w:space="0" w:color="auto"/>
      </w:pBdr>
      <w:spacing w:before="100" w:beforeAutospacing="1" w:after="100" w:afterAutospacing="1"/>
    </w:pPr>
  </w:style>
  <w:style w:type="paragraph" w:customStyle="1" w:styleId="xl68">
    <w:name w:val="xl68"/>
    <w:basedOn w:val="Normal"/>
    <w:rsid w:val="002E0F94"/>
    <w:pPr>
      <w:pBdr>
        <w:top w:val="single" w:sz="4" w:space="0" w:color="auto"/>
        <w:bottom w:val="single" w:sz="4" w:space="0" w:color="auto"/>
      </w:pBdr>
      <w:spacing w:before="100" w:beforeAutospacing="1" w:after="100" w:afterAutospacing="1"/>
      <w:jc w:val="center"/>
    </w:pPr>
  </w:style>
  <w:style w:type="paragraph" w:customStyle="1" w:styleId="xl69">
    <w:name w:val="xl69"/>
    <w:basedOn w:val="Normal"/>
    <w:rsid w:val="002E0F94"/>
    <w:pPr>
      <w:pBdr>
        <w:top w:val="single" w:sz="4" w:space="0" w:color="auto"/>
        <w:bottom w:val="single" w:sz="4" w:space="0" w:color="auto"/>
      </w:pBdr>
      <w:spacing w:before="100" w:beforeAutospacing="1" w:after="100" w:afterAutospacing="1"/>
      <w:jc w:val="center"/>
    </w:pPr>
  </w:style>
  <w:style w:type="paragraph" w:customStyle="1" w:styleId="xl70">
    <w:name w:val="xl70"/>
    <w:basedOn w:val="Normal"/>
    <w:rsid w:val="002E0F94"/>
    <w:pPr>
      <w:pBdr>
        <w:top w:val="single" w:sz="4" w:space="0" w:color="auto"/>
        <w:bottom w:val="single" w:sz="4" w:space="0" w:color="auto"/>
      </w:pBdr>
      <w:spacing w:before="100" w:beforeAutospacing="1" w:after="100" w:afterAutospacing="1"/>
    </w:pPr>
  </w:style>
  <w:style w:type="paragraph" w:customStyle="1" w:styleId="xl71">
    <w:name w:val="xl71"/>
    <w:basedOn w:val="Normal"/>
    <w:rsid w:val="002E0F94"/>
    <w:pPr>
      <w:spacing w:before="100" w:beforeAutospacing="1" w:after="100" w:afterAutospacing="1"/>
    </w:pPr>
    <w:rPr>
      <w:b/>
      <w:bCs/>
    </w:rPr>
  </w:style>
  <w:style w:type="paragraph" w:customStyle="1" w:styleId="xl72">
    <w:name w:val="xl72"/>
    <w:basedOn w:val="Normal"/>
    <w:rsid w:val="002E0F94"/>
    <w:pPr>
      <w:spacing w:before="100" w:beforeAutospacing="1" w:after="100" w:afterAutospacing="1"/>
      <w:jc w:val="center"/>
    </w:pPr>
  </w:style>
  <w:style w:type="paragraph" w:customStyle="1" w:styleId="xl73">
    <w:name w:val="xl73"/>
    <w:basedOn w:val="Normal"/>
    <w:rsid w:val="002E0F94"/>
    <w:pPr>
      <w:spacing w:before="100" w:beforeAutospacing="1" w:after="100" w:afterAutospacing="1"/>
    </w:pPr>
  </w:style>
  <w:style w:type="paragraph" w:customStyle="1" w:styleId="xl74">
    <w:name w:val="xl74"/>
    <w:basedOn w:val="Normal"/>
    <w:rsid w:val="002E0F94"/>
    <w:pPr>
      <w:pBdr>
        <w:bottom w:val="single" w:sz="8" w:space="0" w:color="auto"/>
      </w:pBdr>
      <w:shd w:val="clear" w:color="000000" w:fill="808080"/>
      <w:spacing w:before="100" w:beforeAutospacing="1" w:after="100" w:afterAutospacing="1"/>
      <w:jc w:val="center"/>
    </w:pPr>
    <w:rPr>
      <w:b/>
      <w:bCs/>
      <w:color w:val="FFFFFF"/>
      <w:sz w:val="20"/>
      <w:szCs w:val="20"/>
    </w:rPr>
  </w:style>
  <w:style w:type="paragraph" w:customStyle="1" w:styleId="xl75">
    <w:name w:val="xl75"/>
    <w:basedOn w:val="Normal"/>
    <w:rsid w:val="002E0F94"/>
    <w:pPr>
      <w:pBdr>
        <w:bottom w:val="single" w:sz="8" w:space="0" w:color="auto"/>
      </w:pBdr>
      <w:shd w:val="clear" w:color="000000" w:fill="808080"/>
      <w:spacing w:before="100" w:beforeAutospacing="1" w:after="100" w:afterAutospacing="1"/>
    </w:pPr>
    <w:rPr>
      <w:b/>
      <w:bCs/>
      <w:color w:val="FFFFFF"/>
      <w:sz w:val="20"/>
      <w:szCs w:val="20"/>
    </w:rPr>
  </w:style>
  <w:style w:type="paragraph" w:customStyle="1" w:styleId="xl76">
    <w:name w:val="xl76"/>
    <w:basedOn w:val="Normal"/>
    <w:rsid w:val="002E0F94"/>
    <w:pPr>
      <w:pBdr>
        <w:bottom w:val="single" w:sz="8" w:space="0" w:color="auto"/>
      </w:pBdr>
      <w:shd w:val="clear" w:color="000000" w:fill="808080"/>
      <w:spacing w:before="100" w:beforeAutospacing="1" w:after="100" w:afterAutospacing="1"/>
      <w:jc w:val="center"/>
    </w:pPr>
    <w:rPr>
      <w:b/>
      <w:bCs/>
      <w:color w:val="FFFFFF"/>
      <w:sz w:val="20"/>
      <w:szCs w:val="20"/>
    </w:rPr>
  </w:style>
  <w:style w:type="paragraph" w:customStyle="1" w:styleId="xl77">
    <w:name w:val="xl77"/>
    <w:basedOn w:val="Normal"/>
    <w:rsid w:val="002E0F94"/>
    <w:pPr>
      <w:shd w:val="clear" w:color="000000" w:fill="808080"/>
      <w:spacing w:before="100" w:beforeAutospacing="1" w:after="100" w:afterAutospacing="1"/>
      <w:jc w:val="center"/>
    </w:pPr>
    <w:rPr>
      <w:color w:val="FFFFFF"/>
    </w:rPr>
  </w:style>
  <w:style w:type="paragraph" w:customStyle="1" w:styleId="xl78">
    <w:name w:val="xl78"/>
    <w:basedOn w:val="Normal"/>
    <w:rsid w:val="002E0F94"/>
    <w:pPr>
      <w:shd w:val="clear" w:color="000000" w:fill="808080"/>
      <w:spacing w:before="100" w:beforeAutospacing="1" w:after="100" w:afterAutospacing="1"/>
    </w:pPr>
    <w:rPr>
      <w:color w:val="FFFFFF"/>
    </w:rPr>
  </w:style>
  <w:style w:type="paragraph" w:customStyle="1" w:styleId="xl79">
    <w:name w:val="xl79"/>
    <w:basedOn w:val="Normal"/>
    <w:rsid w:val="002E0F94"/>
    <w:pPr>
      <w:shd w:val="clear" w:color="000000" w:fill="808080"/>
      <w:spacing w:before="100" w:beforeAutospacing="1" w:after="100" w:afterAutospacing="1"/>
      <w:jc w:val="center"/>
    </w:pPr>
    <w:rPr>
      <w:color w:val="FFFFFF"/>
    </w:rPr>
  </w:style>
  <w:style w:type="paragraph" w:customStyle="1" w:styleId="xl80">
    <w:name w:val="xl80"/>
    <w:basedOn w:val="Normal"/>
    <w:rsid w:val="002E0F94"/>
    <w:pPr>
      <w:pBdr>
        <w:top w:val="single" w:sz="4" w:space="0" w:color="auto"/>
        <w:bottom w:val="single" w:sz="4" w:space="0" w:color="auto"/>
      </w:pBdr>
      <w:shd w:val="clear" w:color="000000" w:fill="808080"/>
      <w:spacing w:before="100" w:beforeAutospacing="1" w:after="100" w:afterAutospacing="1"/>
      <w:jc w:val="center"/>
    </w:pPr>
    <w:rPr>
      <w:color w:val="FFFFFF"/>
    </w:rPr>
  </w:style>
  <w:style w:type="paragraph" w:customStyle="1" w:styleId="xl81">
    <w:name w:val="xl81"/>
    <w:basedOn w:val="Normal"/>
    <w:rsid w:val="002E0F94"/>
    <w:pPr>
      <w:pBdr>
        <w:top w:val="single" w:sz="4" w:space="0" w:color="auto"/>
        <w:bottom w:val="single" w:sz="4" w:space="0" w:color="auto"/>
      </w:pBdr>
      <w:shd w:val="clear" w:color="000000" w:fill="808080"/>
      <w:spacing w:before="100" w:beforeAutospacing="1" w:after="100" w:afterAutospacing="1"/>
    </w:pPr>
    <w:rPr>
      <w:color w:val="FFFFFF"/>
    </w:rPr>
  </w:style>
  <w:style w:type="paragraph" w:customStyle="1" w:styleId="xl82">
    <w:name w:val="xl82"/>
    <w:basedOn w:val="Normal"/>
    <w:rsid w:val="002E0F94"/>
    <w:pPr>
      <w:pBdr>
        <w:top w:val="single" w:sz="4" w:space="0" w:color="auto"/>
        <w:bottom w:val="single" w:sz="4" w:space="0" w:color="auto"/>
      </w:pBdr>
      <w:shd w:val="clear" w:color="000000" w:fill="808080"/>
      <w:spacing w:before="100" w:beforeAutospacing="1" w:after="100" w:afterAutospacing="1"/>
      <w:jc w:val="center"/>
    </w:pPr>
    <w:rPr>
      <w:color w:val="FFFFFF"/>
    </w:rPr>
  </w:style>
  <w:style w:type="paragraph" w:customStyle="1" w:styleId="xl83">
    <w:name w:val="xl83"/>
    <w:basedOn w:val="Normal"/>
    <w:rsid w:val="002E0F94"/>
    <w:pPr>
      <w:pBdr>
        <w:top w:val="single" w:sz="4" w:space="0" w:color="auto"/>
        <w:bottom w:val="single" w:sz="4" w:space="0" w:color="auto"/>
      </w:pBdr>
      <w:spacing w:before="100" w:beforeAutospacing="1" w:after="100" w:afterAutospacing="1"/>
      <w:jc w:val="center"/>
    </w:pPr>
  </w:style>
  <w:style w:type="paragraph" w:customStyle="1" w:styleId="xl84">
    <w:name w:val="xl84"/>
    <w:basedOn w:val="Normal"/>
    <w:rsid w:val="002E0F94"/>
    <w:pPr>
      <w:pBdr>
        <w:top w:val="single" w:sz="4" w:space="0" w:color="auto"/>
        <w:bottom w:val="single" w:sz="4" w:space="0" w:color="auto"/>
      </w:pBdr>
      <w:spacing w:before="100" w:beforeAutospacing="1" w:after="100" w:afterAutospacing="1"/>
      <w:jc w:val="center"/>
    </w:pPr>
  </w:style>
  <w:style w:type="paragraph" w:customStyle="1" w:styleId="xl85">
    <w:name w:val="xl85"/>
    <w:basedOn w:val="Normal"/>
    <w:rsid w:val="002E0F94"/>
    <w:pPr>
      <w:pBdr>
        <w:top w:val="single" w:sz="4" w:space="0" w:color="auto"/>
        <w:bottom w:val="single" w:sz="4" w:space="0" w:color="auto"/>
      </w:pBdr>
      <w:spacing w:before="100" w:beforeAutospacing="1" w:after="100" w:afterAutospacing="1"/>
      <w:jc w:val="center"/>
    </w:pPr>
  </w:style>
  <w:style w:type="paragraph" w:customStyle="1" w:styleId="xl86">
    <w:name w:val="xl86"/>
    <w:basedOn w:val="Normal"/>
    <w:rsid w:val="002E0F94"/>
    <w:pPr>
      <w:pBdr>
        <w:top w:val="single" w:sz="4" w:space="0" w:color="auto"/>
        <w:bottom w:val="single" w:sz="4" w:space="0" w:color="auto"/>
      </w:pBdr>
      <w:spacing w:before="100" w:beforeAutospacing="1" w:after="100" w:afterAutospacing="1"/>
      <w:jc w:val="center"/>
    </w:pPr>
  </w:style>
  <w:style w:type="paragraph" w:customStyle="1" w:styleId="xl87">
    <w:name w:val="xl87"/>
    <w:basedOn w:val="Normal"/>
    <w:rsid w:val="002E0F94"/>
    <w:pPr>
      <w:pBdr>
        <w:top w:val="single" w:sz="4" w:space="0" w:color="auto"/>
        <w:bottom w:val="single" w:sz="4" w:space="0" w:color="auto"/>
      </w:pBdr>
      <w:spacing w:before="100" w:beforeAutospacing="1" w:after="100" w:afterAutospacing="1"/>
    </w:pPr>
  </w:style>
  <w:style w:type="paragraph" w:customStyle="1" w:styleId="incr0">
    <w:name w:val="incr0"/>
    <w:basedOn w:val="Normal"/>
    <w:rsid w:val="00C41896"/>
    <w:pPr>
      <w:spacing w:after="48"/>
      <w:ind w:right="240"/>
    </w:pPr>
  </w:style>
  <w:style w:type="paragraph" w:customStyle="1" w:styleId="content1">
    <w:name w:val="content1"/>
    <w:basedOn w:val="Normal"/>
    <w:rsid w:val="00C41896"/>
    <w:pPr>
      <w:spacing w:after="48"/>
      <w:ind w:left="480"/>
    </w:pPr>
  </w:style>
  <w:style w:type="character" w:customStyle="1" w:styleId="chunk-title">
    <w:name w:val="chunk-title"/>
    <w:basedOn w:val="DefaultParagraphFont"/>
    <w:rsid w:val="00C41896"/>
  </w:style>
  <w:style w:type="paragraph" w:customStyle="1" w:styleId="incr1">
    <w:name w:val="incr1"/>
    <w:basedOn w:val="Normal"/>
    <w:rsid w:val="007838E6"/>
    <w:pPr>
      <w:spacing w:after="48"/>
      <w:ind w:left="480" w:right="240"/>
    </w:pPr>
  </w:style>
  <w:style w:type="paragraph" w:customStyle="1" w:styleId="content2">
    <w:name w:val="content2"/>
    <w:basedOn w:val="Normal"/>
    <w:rsid w:val="007838E6"/>
    <w:pPr>
      <w:spacing w:after="48"/>
      <w:ind w:left="9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6822"/>
    <w:rPr>
      <w:sz w:val="24"/>
      <w:szCs w:val="24"/>
    </w:rPr>
  </w:style>
  <w:style w:type="paragraph" w:styleId="Heading2">
    <w:name w:val="heading 2"/>
    <w:basedOn w:val="Normal"/>
    <w:next w:val="Normal"/>
    <w:qFormat/>
    <w:rsid w:val="00765998"/>
    <w:pPr>
      <w:keepNext/>
      <w:tabs>
        <w:tab w:val="left" w:pos="-720"/>
      </w:tabs>
      <w:suppressAutoHyphens/>
      <w:ind w:right="72"/>
      <w:jc w:val="center"/>
      <w:outlineLvl w:val="1"/>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C54D1"/>
    <w:rPr>
      <w:rFonts w:ascii="Tahoma" w:hAnsi="Tahoma" w:cs="Tahoma"/>
      <w:sz w:val="16"/>
      <w:szCs w:val="16"/>
    </w:rPr>
  </w:style>
  <w:style w:type="character" w:customStyle="1" w:styleId="BalloonTextChar">
    <w:name w:val="Balloon Text Char"/>
    <w:basedOn w:val="DefaultParagraphFont"/>
    <w:link w:val="BalloonText"/>
    <w:uiPriority w:val="99"/>
    <w:semiHidden/>
    <w:rsid w:val="00677CE5"/>
    <w:rPr>
      <w:rFonts w:ascii="Tahoma" w:hAnsi="Tahoma" w:cs="Tahoma"/>
      <w:sz w:val="16"/>
      <w:szCs w:val="16"/>
    </w:rPr>
  </w:style>
  <w:style w:type="character" w:styleId="Hyperlink">
    <w:name w:val="Hyperlink"/>
    <w:basedOn w:val="DefaultParagraphFont"/>
    <w:uiPriority w:val="99"/>
    <w:rsid w:val="00BC54D1"/>
    <w:rPr>
      <w:color w:val="0000FF"/>
      <w:u w:val="single"/>
    </w:rPr>
  </w:style>
  <w:style w:type="paragraph" w:styleId="Header">
    <w:name w:val="header"/>
    <w:basedOn w:val="Normal"/>
    <w:link w:val="HeaderChar"/>
    <w:uiPriority w:val="99"/>
    <w:rsid w:val="00BC54D1"/>
    <w:pPr>
      <w:tabs>
        <w:tab w:val="center" w:pos="4320"/>
        <w:tab w:val="right" w:pos="8640"/>
      </w:tabs>
    </w:pPr>
  </w:style>
  <w:style w:type="character" w:customStyle="1" w:styleId="HeaderChar">
    <w:name w:val="Header Char"/>
    <w:basedOn w:val="DefaultParagraphFont"/>
    <w:link w:val="Header"/>
    <w:uiPriority w:val="99"/>
    <w:rsid w:val="00677CE5"/>
    <w:rPr>
      <w:sz w:val="24"/>
      <w:szCs w:val="24"/>
    </w:rPr>
  </w:style>
  <w:style w:type="paragraph" w:styleId="Footer">
    <w:name w:val="footer"/>
    <w:basedOn w:val="Normal"/>
    <w:link w:val="FooterChar"/>
    <w:uiPriority w:val="99"/>
    <w:rsid w:val="00BC54D1"/>
    <w:pPr>
      <w:tabs>
        <w:tab w:val="center" w:pos="4320"/>
        <w:tab w:val="right" w:pos="8640"/>
      </w:tabs>
    </w:pPr>
  </w:style>
  <w:style w:type="character" w:customStyle="1" w:styleId="FooterChar">
    <w:name w:val="Footer Char"/>
    <w:basedOn w:val="DefaultParagraphFont"/>
    <w:link w:val="Footer"/>
    <w:uiPriority w:val="99"/>
    <w:rsid w:val="00BF5250"/>
    <w:rPr>
      <w:sz w:val="24"/>
      <w:szCs w:val="24"/>
    </w:rPr>
  </w:style>
  <w:style w:type="character" w:customStyle="1" w:styleId="pbxdeptmain">
    <w:name w:val="pbxdeptmain"/>
    <w:basedOn w:val="DefaultParagraphFont"/>
    <w:rsid w:val="00C71E02"/>
  </w:style>
  <w:style w:type="character" w:styleId="CommentReference">
    <w:name w:val="annotation reference"/>
    <w:basedOn w:val="DefaultParagraphFont"/>
    <w:semiHidden/>
    <w:rsid w:val="006F7F96"/>
    <w:rPr>
      <w:sz w:val="16"/>
      <w:szCs w:val="16"/>
    </w:rPr>
  </w:style>
  <w:style w:type="paragraph" w:styleId="CommentText">
    <w:name w:val="annotation text"/>
    <w:basedOn w:val="Normal"/>
    <w:semiHidden/>
    <w:rsid w:val="006F7F96"/>
    <w:rPr>
      <w:sz w:val="20"/>
      <w:szCs w:val="20"/>
    </w:rPr>
  </w:style>
  <w:style w:type="paragraph" w:styleId="CommentSubject">
    <w:name w:val="annotation subject"/>
    <w:basedOn w:val="CommentText"/>
    <w:next w:val="CommentText"/>
    <w:semiHidden/>
    <w:rsid w:val="006F7F96"/>
    <w:rPr>
      <w:b/>
      <w:bCs/>
    </w:rPr>
  </w:style>
  <w:style w:type="table" w:styleId="TableGrid">
    <w:name w:val="Table Grid"/>
    <w:basedOn w:val="TableNormal"/>
    <w:uiPriority w:val="59"/>
    <w:rsid w:val="003B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65998"/>
    <w:pPr>
      <w:spacing w:after="240"/>
      <w:jc w:val="both"/>
    </w:pPr>
    <w:rPr>
      <w:rFonts w:ascii="Arial" w:hAnsi="Arial"/>
      <w:i/>
      <w:iCs/>
    </w:rPr>
  </w:style>
  <w:style w:type="character" w:styleId="PageNumber">
    <w:name w:val="page number"/>
    <w:basedOn w:val="DefaultParagraphFont"/>
    <w:rsid w:val="00765998"/>
  </w:style>
  <w:style w:type="paragraph" w:styleId="BodyTextIndent">
    <w:name w:val="Body Text Indent"/>
    <w:basedOn w:val="Normal"/>
    <w:rsid w:val="00765998"/>
    <w:pPr>
      <w:ind w:left="1800"/>
    </w:pPr>
    <w:rPr>
      <w:rFonts w:ascii="Arial" w:hAnsi="Arial"/>
    </w:rPr>
  </w:style>
  <w:style w:type="paragraph" w:styleId="BodyTextIndent3">
    <w:name w:val="Body Text Indent 3"/>
    <w:basedOn w:val="Normal"/>
    <w:rsid w:val="00765998"/>
    <w:pPr>
      <w:spacing w:after="120"/>
      <w:ind w:left="360"/>
    </w:pPr>
    <w:rPr>
      <w:rFonts w:ascii="Arial" w:hAnsi="Arial"/>
      <w:sz w:val="16"/>
      <w:szCs w:val="16"/>
    </w:rPr>
  </w:style>
  <w:style w:type="paragraph" w:styleId="BlockText">
    <w:name w:val="Block Text"/>
    <w:basedOn w:val="Normal"/>
    <w:rsid w:val="00DB65B0"/>
    <w:pPr>
      <w:ind w:left="720" w:right="720"/>
      <w:jc w:val="both"/>
    </w:pPr>
    <w:rPr>
      <w:rFonts w:ascii="Univers" w:hAnsi="Univers"/>
      <w:szCs w:val="20"/>
    </w:rPr>
  </w:style>
  <w:style w:type="paragraph" w:customStyle="1" w:styleId="Default">
    <w:name w:val="Default"/>
    <w:rsid w:val="007074C2"/>
    <w:pPr>
      <w:autoSpaceDE w:val="0"/>
      <w:autoSpaceDN w:val="0"/>
      <w:adjustRightInd w:val="0"/>
    </w:pPr>
    <w:rPr>
      <w:rFonts w:ascii="Palatino Linotype" w:hAnsi="Palatino Linotype" w:cs="Palatino Linotype"/>
      <w:color w:val="000000"/>
      <w:sz w:val="24"/>
      <w:szCs w:val="24"/>
    </w:rPr>
  </w:style>
  <w:style w:type="paragraph" w:styleId="ListParagraph">
    <w:name w:val="List Paragraph"/>
    <w:basedOn w:val="Normal"/>
    <w:uiPriority w:val="34"/>
    <w:qFormat/>
    <w:rsid w:val="00D105DC"/>
    <w:pPr>
      <w:ind w:left="720"/>
      <w:contextualSpacing/>
    </w:pPr>
  </w:style>
  <w:style w:type="table" w:customStyle="1" w:styleId="TableGrid2">
    <w:name w:val="Table Grid2"/>
    <w:basedOn w:val="TableNormal"/>
    <w:next w:val="TableGrid"/>
    <w:uiPriority w:val="59"/>
    <w:rsid w:val="00677C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A0FFC"/>
    <w:pPr>
      <w:spacing w:before="100" w:beforeAutospacing="1" w:after="100" w:afterAutospacing="1"/>
    </w:pPr>
  </w:style>
  <w:style w:type="character" w:customStyle="1" w:styleId="apple-tab-span">
    <w:name w:val="apple-tab-span"/>
    <w:basedOn w:val="DefaultParagraphFont"/>
    <w:rsid w:val="00083FE5"/>
  </w:style>
  <w:style w:type="character" w:styleId="FollowedHyperlink">
    <w:name w:val="FollowedHyperlink"/>
    <w:basedOn w:val="DefaultParagraphFont"/>
    <w:uiPriority w:val="99"/>
    <w:unhideWhenUsed/>
    <w:rsid w:val="002E0F94"/>
    <w:rPr>
      <w:color w:val="800080"/>
      <w:u w:val="single"/>
    </w:rPr>
  </w:style>
  <w:style w:type="paragraph" w:customStyle="1" w:styleId="font5">
    <w:name w:val="font5"/>
    <w:basedOn w:val="Normal"/>
    <w:rsid w:val="002E0F94"/>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2E0F94"/>
    <w:pPr>
      <w:spacing w:before="100" w:beforeAutospacing="1" w:after="100" w:afterAutospacing="1"/>
    </w:pPr>
    <w:rPr>
      <w:rFonts w:ascii="Tahoma" w:hAnsi="Tahoma" w:cs="Tahoma"/>
      <w:color w:val="000000"/>
      <w:sz w:val="18"/>
      <w:szCs w:val="18"/>
    </w:rPr>
  </w:style>
  <w:style w:type="paragraph" w:customStyle="1" w:styleId="xl63">
    <w:name w:val="xl63"/>
    <w:basedOn w:val="Normal"/>
    <w:rsid w:val="002E0F94"/>
    <w:pPr>
      <w:spacing w:before="100" w:beforeAutospacing="1" w:after="100" w:afterAutospacing="1"/>
      <w:jc w:val="center"/>
    </w:pPr>
  </w:style>
  <w:style w:type="paragraph" w:customStyle="1" w:styleId="xl64">
    <w:name w:val="xl64"/>
    <w:basedOn w:val="Normal"/>
    <w:rsid w:val="002E0F94"/>
    <w:pPr>
      <w:spacing w:before="100" w:beforeAutospacing="1" w:after="100" w:afterAutospacing="1"/>
      <w:jc w:val="center"/>
    </w:pPr>
  </w:style>
  <w:style w:type="paragraph" w:customStyle="1" w:styleId="xl65">
    <w:name w:val="xl65"/>
    <w:basedOn w:val="Normal"/>
    <w:rsid w:val="002E0F94"/>
    <w:pPr>
      <w:spacing w:before="100" w:beforeAutospacing="1" w:after="100" w:afterAutospacing="1"/>
    </w:pPr>
  </w:style>
  <w:style w:type="paragraph" w:customStyle="1" w:styleId="xl66">
    <w:name w:val="xl66"/>
    <w:basedOn w:val="Normal"/>
    <w:rsid w:val="002E0F94"/>
    <w:pPr>
      <w:pBdr>
        <w:top w:val="single" w:sz="4" w:space="0" w:color="auto"/>
        <w:bottom w:val="single" w:sz="4" w:space="0" w:color="auto"/>
      </w:pBdr>
      <w:spacing w:before="100" w:beforeAutospacing="1" w:after="100" w:afterAutospacing="1"/>
      <w:jc w:val="center"/>
    </w:pPr>
  </w:style>
  <w:style w:type="paragraph" w:customStyle="1" w:styleId="xl67">
    <w:name w:val="xl67"/>
    <w:basedOn w:val="Normal"/>
    <w:rsid w:val="002E0F94"/>
    <w:pPr>
      <w:pBdr>
        <w:top w:val="single" w:sz="4" w:space="0" w:color="auto"/>
        <w:bottom w:val="single" w:sz="4" w:space="0" w:color="auto"/>
      </w:pBdr>
      <w:spacing w:before="100" w:beforeAutospacing="1" w:after="100" w:afterAutospacing="1"/>
    </w:pPr>
  </w:style>
  <w:style w:type="paragraph" w:customStyle="1" w:styleId="xl68">
    <w:name w:val="xl68"/>
    <w:basedOn w:val="Normal"/>
    <w:rsid w:val="002E0F94"/>
    <w:pPr>
      <w:pBdr>
        <w:top w:val="single" w:sz="4" w:space="0" w:color="auto"/>
        <w:bottom w:val="single" w:sz="4" w:space="0" w:color="auto"/>
      </w:pBdr>
      <w:spacing w:before="100" w:beforeAutospacing="1" w:after="100" w:afterAutospacing="1"/>
      <w:jc w:val="center"/>
    </w:pPr>
  </w:style>
  <w:style w:type="paragraph" w:customStyle="1" w:styleId="xl69">
    <w:name w:val="xl69"/>
    <w:basedOn w:val="Normal"/>
    <w:rsid w:val="002E0F94"/>
    <w:pPr>
      <w:pBdr>
        <w:top w:val="single" w:sz="4" w:space="0" w:color="auto"/>
        <w:bottom w:val="single" w:sz="4" w:space="0" w:color="auto"/>
      </w:pBdr>
      <w:spacing w:before="100" w:beforeAutospacing="1" w:after="100" w:afterAutospacing="1"/>
      <w:jc w:val="center"/>
    </w:pPr>
  </w:style>
  <w:style w:type="paragraph" w:customStyle="1" w:styleId="xl70">
    <w:name w:val="xl70"/>
    <w:basedOn w:val="Normal"/>
    <w:rsid w:val="002E0F94"/>
    <w:pPr>
      <w:pBdr>
        <w:top w:val="single" w:sz="4" w:space="0" w:color="auto"/>
        <w:bottom w:val="single" w:sz="4" w:space="0" w:color="auto"/>
      </w:pBdr>
      <w:spacing w:before="100" w:beforeAutospacing="1" w:after="100" w:afterAutospacing="1"/>
    </w:pPr>
  </w:style>
  <w:style w:type="paragraph" w:customStyle="1" w:styleId="xl71">
    <w:name w:val="xl71"/>
    <w:basedOn w:val="Normal"/>
    <w:rsid w:val="002E0F94"/>
    <w:pPr>
      <w:spacing w:before="100" w:beforeAutospacing="1" w:after="100" w:afterAutospacing="1"/>
    </w:pPr>
    <w:rPr>
      <w:b/>
      <w:bCs/>
    </w:rPr>
  </w:style>
  <w:style w:type="paragraph" w:customStyle="1" w:styleId="xl72">
    <w:name w:val="xl72"/>
    <w:basedOn w:val="Normal"/>
    <w:rsid w:val="002E0F94"/>
    <w:pPr>
      <w:spacing w:before="100" w:beforeAutospacing="1" w:after="100" w:afterAutospacing="1"/>
      <w:jc w:val="center"/>
    </w:pPr>
  </w:style>
  <w:style w:type="paragraph" w:customStyle="1" w:styleId="xl73">
    <w:name w:val="xl73"/>
    <w:basedOn w:val="Normal"/>
    <w:rsid w:val="002E0F94"/>
    <w:pPr>
      <w:spacing w:before="100" w:beforeAutospacing="1" w:after="100" w:afterAutospacing="1"/>
    </w:pPr>
  </w:style>
  <w:style w:type="paragraph" w:customStyle="1" w:styleId="xl74">
    <w:name w:val="xl74"/>
    <w:basedOn w:val="Normal"/>
    <w:rsid w:val="002E0F94"/>
    <w:pPr>
      <w:pBdr>
        <w:bottom w:val="single" w:sz="8" w:space="0" w:color="auto"/>
      </w:pBdr>
      <w:shd w:val="clear" w:color="000000" w:fill="808080"/>
      <w:spacing w:before="100" w:beforeAutospacing="1" w:after="100" w:afterAutospacing="1"/>
      <w:jc w:val="center"/>
    </w:pPr>
    <w:rPr>
      <w:b/>
      <w:bCs/>
      <w:color w:val="FFFFFF"/>
      <w:sz w:val="20"/>
      <w:szCs w:val="20"/>
    </w:rPr>
  </w:style>
  <w:style w:type="paragraph" w:customStyle="1" w:styleId="xl75">
    <w:name w:val="xl75"/>
    <w:basedOn w:val="Normal"/>
    <w:rsid w:val="002E0F94"/>
    <w:pPr>
      <w:pBdr>
        <w:bottom w:val="single" w:sz="8" w:space="0" w:color="auto"/>
      </w:pBdr>
      <w:shd w:val="clear" w:color="000000" w:fill="808080"/>
      <w:spacing w:before="100" w:beforeAutospacing="1" w:after="100" w:afterAutospacing="1"/>
    </w:pPr>
    <w:rPr>
      <w:b/>
      <w:bCs/>
      <w:color w:val="FFFFFF"/>
      <w:sz w:val="20"/>
      <w:szCs w:val="20"/>
    </w:rPr>
  </w:style>
  <w:style w:type="paragraph" w:customStyle="1" w:styleId="xl76">
    <w:name w:val="xl76"/>
    <w:basedOn w:val="Normal"/>
    <w:rsid w:val="002E0F94"/>
    <w:pPr>
      <w:pBdr>
        <w:bottom w:val="single" w:sz="8" w:space="0" w:color="auto"/>
      </w:pBdr>
      <w:shd w:val="clear" w:color="000000" w:fill="808080"/>
      <w:spacing w:before="100" w:beforeAutospacing="1" w:after="100" w:afterAutospacing="1"/>
      <w:jc w:val="center"/>
    </w:pPr>
    <w:rPr>
      <w:b/>
      <w:bCs/>
      <w:color w:val="FFFFFF"/>
      <w:sz w:val="20"/>
      <w:szCs w:val="20"/>
    </w:rPr>
  </w:style>
  <w:style w:type="paragraph" w:customStyle="1" w:styleId="xl77">
    <w:name w:val="xl77"/>
    <w:basedOn w:val="Normal"/>
    <w:rsid w:val="002E0F94"/>
    <w:pPr>
      <w:shd w:val="clear" w:color="000000" w:fill="808080"/>
      <w:spacing w:before="100" w:beforeAutospacing="1" w:after="100" w:afterAutospacing="1"/>
      <w:jc w:val="center"/>
    </w:pPr>
    <w:rPr>
      <w:color w:val="FFFFFF"/>
    </w:rPr>
  </w:style>
  <w:style w:type="paragraph" w:customStyle="1" w:styleId="xl78">
    <w:name w:val="xl78"/>
    <w:basedOn w:val="Normal"/>
    <w:rsid w:val="002E0F94"/>
    <w:pPr>
      <w:shd w:val="clear" w:color="000000" w:fill="808080"/>
      <w:spacing w:before="100" w:beforeAutospacing="1" w:after="100" w:afterAutospacing="1"/>
    </w:pPr>
    <w:rPr>
      <w:color w:val="FFFFFF"/>
    </w:rPr>
  </w:style>
  <w:style w:type="paragraph" w:customStyle="1" w:styleId="xl79">
    <w:name w:val="xl79"/>
    <w:basedOn w:val="Normal"/>
    <w:rsid w:val="002E0F94"/>
    <w:pPr>
      <w:shd w:val="clear" w:color="000000" w:fill="808080"/>
      <w:spacing w:before="100" w:beforeAutospacing="1" w:after="100" w:afterAutospacing="1"/>
      <w:jc w:val="center"/>
    </w:pPr>
    <w:rPr>
      <w:color w:val="FFFFFF"/>
    </w:rPr>
  </w:style>
  <w:style w:type="paragraph" w:customStyle="1" w:styleId="xl80">
    <w:name w:val="xl80"/>
    <w:basedOn w:val="Normal"/>
    <w:rsid w:val="002E0F94"/>
    <w:pPr>
      <w:pBdr>
        <w:top w:val="single" w:sz="4" w:space="0" w:color="auto"/>
        <w:bottom w:val="single" w:sz="4" w:space="0" w:color="auto"/>
      </w:pBdr>
      <w:shd w:val="clear" w:color="000000" w:fill="808080"/>
      <w:spacing w:before="100" w:beforeAutospacing="1" w:after="100" w:afterAutospacing="1"/>
      <w:jc w:val="center"/>
    </w:pPr>
    <w:rPr>
      <w:color w:val="FFFFFF"/>
    </w:rPr>
  </w:style>
  <w:style w:type="paragraph" w:customStyle="1" w:styleId="xl81">
    <w:name w:val="xl81"/>
    <w:basedOn w:val="Normal"/>
    <w:rsid w:val="002E0F94"/>
    <w:pPr>
      <w:pBdr>
        <w:top w:val="single" w:sz="4" w:space="0" w:color="auto"/>
        <w:bottom w:val="single" w:sz="4" w:space="0" w:color="auto"/>
      </w:pBdr>
      <w:shd w:val="clear" w:color="000000" w:fill="808080"/>
      <w:spacing w:before="100" w:beforeAutospacing="1" w:after="100" w:afterAutospacing="1"/>
    </w:pPr>
    <w:rPr>
      <w:color w:val="FFFFFF"/>
    </w:rPr>
  </w:style>
  <w:style w:type="paragraph" w:customStyle="1" w:styleId="xl82">
    <w:name w:val="xl82"/>
    <w:basedOn w:val="Normal"/>
    <w:rsid w:val="002E0F94"/>
    <w:pPr>
      <w:pBdr>
        <w:top w:val="single" w:sz="4" w:space="0" w:color="auto"/>
        <w:bottom w:val="single" w:sz="4" w:space="0" w:color="auto"/>
      </w:pBdr>
      <w:shd w:val="clear" w:color="000000" w:fill="808080"/>
      <w:spacing w:before="100" w:beforeAutospacing="1" w:after="100" w:afterAutospacing="1"/>
      <w:jc w:val="center"/>
    </w:pPr>
    <w:rPr>
      <w:color w:val="FFFFFF"/>
    </w:rPr>
  </w:style>
  <w:style w:type="paragraph" w:customStyle="1" w:styleId="xl83">
    <w:name w:val="xl83"/>
    <w:basedOn w:val="Normal"/>
    <w:rsid w:val="002E0F94"/>
    <w:pPr>
      <w:pBdr>
        <w:top w:val="single" w:sz="4" w:space="0" w:color="auto"/>
        <w:bottom w:val="single" w:sz="4" w:space="0" w:color="auto"/>
      </w:pBdr>
      <w:spacing w:before="100" w:beforeAutospacing="1" w:after="100" w:afterAutospacing="1"/>
      <w:jc w:val="center"/>
    </w:pPr>
  </w:style>
  <w:style w:type="paragraph" w:customStyle="1" w:styleId="xl84">
    <w:name w:val="xl84"/>
    <w:basedOn w:val="Normal"/>
    <w:rsid w:val="002E0F94"/>
    <w:pPr>
      <w:pBdr>
        <w:top w:val="single" w:sz="4" w:space="0" w:color="auto"/>
        <w:bottom w:val="single" w:sz="4" w:space="0" w:color="auto"/>
      </w:pBdr>
      <w:spacing w:before="100" w:beforeAutospacing="1" w:after="100" w:afterAutospacing="1"/>
      <w:jc w:val="center"/>
    </w:pPr>
  </w:style>
  <w:style w:type="paragraph" w:customStyle="1" w:styleId="xl85">
    <w:name w:val="xl85"/>
    <w:basedOn w:val="Normal"/>
    <w:rsid w:val="002E0F94"/>
    <w:pPr>
      <w:pBdr>
        <w:top w:val="single" w:sz="4" w:space="0" w:color="auto"/>
        <w:bottom w:val="single" w:sz="4" w:space="0" w:color="auto"/>
      </w:pBdr>
      <w:spacing w:before="100" w:beforeAutospacing="1" w:after="100" w:afterAutospacing="1"/>
      <w:jc w:val="center"/>
    </w:pPr>
  </w:style>
  <w:style w:type="paragraph" w:customStyle="1" w:styleId="xl86">
    <w:name w:val="xl86"/>
    <w:basedOn w:val="Normal"/>
    <w:rsid w:val="002E0F94"/>
    <w:pPr>
      <w:pBdr>
        <w:top w:val="single" w:sz="4" w:space="0" w:color="auto"/>
        <w:bottom w:val="single" w:sz="4" w:space="0" w:color="auto"/>
      </w:pBdr>
      <w:spacing w:before="100" w:beforeAutospacing="1" w:after="100" w:afterAutospacing="1"/>
      <w:jc w:val="center"/>
    </w:pPr>
  </w:style>
  <w:style w:type="paragraph" w:customStyle="1" w:styleId="xl87">
    <w:name w:val="xl87"/>
    <w:basedOn w:val="Normal"/>
    <w:rsid w:val="002E0F94"/>
    <w:pPr>
      <w:pBdr>
        <w:top w:val="single" w:sz="4" w:space="0" w:color="auto"/>
        <w:bottom w:val="single" w:sz="4" w:space="0" w:color="auto"/>
      </w:pBdr>
      <w:spacing w:before="100" w:beforeAutospacing="1" w:after="100" w:afterAutospacing="1"/>
    </w:pPr>
  </w:style>
  <w:style w:type="paragraph" w:customStyle="1" w:styleId="incr0">
    <w:name w:val="incr0"/>
    <w:basedOn w:val="Normal"/>
    <w:rsid w:val="00C41896"/>
    <w:pPr>
      <w:spacing w:after="48"/>
      <w:ind w:right="240"/>
    </w:pPr>
  </w:style>
  <w:style w:type="paragraph" w:customStyle="1" w:styleId="content1">
    <w:name w:val="content1"/>
    <w:basedOn w:val="Normal"/>
    <w:rsid w:val="00C41896"/>
    <w:pPr>
      <w:spacing w:after="48"/>
      <w:ind w:left="480"/>
    </w:pPr>
  </w:style>
  <w:style w:type="character" w:customStyle="1" w:styleId="chunk-title">
    <w:name w:val="chunk-title"/>
    <w:basedOn w:val="DefaultParagraphFont"/>
    <w:rsid w:val="00C41896"/>
  </w:style>
  <w:style w:type="paragraph" w:customStyle="1" w:styleId="incr1">
    <w:name w:val="incr1"/>
    <w:basedOn w:val="Normal"/>
    <w:rsid w:val="007838E6"/>
    <w:pPr>
      <w:spacing w:after="48"/>
      <w:ind w:left="480" w:right="240"/>
    </w:pPr>
  </w:style>
  <w:style w:type="paragraph" w:customStyle="1" w:styleId="content2">
    <w:name w:val="content2"/>
    <w:basedOn w:val="Normal"/>
    <w:rsid w:val="007838E6"/>
    <w:pPr>
      <w:spacing w:after="48"/>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80955">
      <w:bodyDiv w:val="1"/>
      <w:marLeft w:val="0"/>
      <w:marRight w:val="0"/>
      <w:marTop w:val="0"/>
      <w:marBottom w:val="0"/>
      <w:divBdr>
        <w:top w:val="none" w:sz="0" w:space="0" w:color="auto"/>
        <w:left w:val="none" w:sz="0" w:space="0" w:color="auto"/>
        <w:bottom w:val="none" w:sz="0" w:space="0" w:color="auto"/>
        <w:right w:val="none" w:sz="0" w:space="0" w:color="auto"/>
      </w:divBdr>
      <w:divsChild>
        <w:div w:id="279848409">
          <w:marLeft w:val="0"/>
          <w:marRight w:val="0"/>
          <w:marTop w:val="0"/>
          <w:marBottom w:val="0"/>
          <w:divBdr>
            <w:top w:val="none" w:sz="0" w:space="0" w:color="auto"/>
            <w:left w:val="none" w:sz="0" w:space="0" w:color="auto"/>
            <w:bottom w:val="none" w:sz="0" w:space="0" w:color="auto"/>
            <w:right w:val="none" w:sz="0" w:space="0" w:color="auto"/>
          </w:divBdr>
          <w:divsChild>
            <w:div w:id="1953634760">
              <w:marLeft w:val="0"/>
              <w:marRight w:val="0"/>
              <w:marTop w:val="0"/>
              <w:marBottom w:val="0"/>
              <w:divBdr>
                <w:top w:val="none" w:sz="0" w:space="0" w:color="auto"/>
                <w:left w:val="none" w:sz="0" w:space="0" w:color="auto"/>
                <w:bottom w:val="none" w:sz="0" w:space="0" w:color="auto"/>
                <w:right w:val="none" w:sz="0" w:space="0" w:color="auto"/>
              </w:divBdr>
              <w:divsChild>
                <w:div w:id="1830825146">
                  <w:marLeft w:val="0"/>
                  <w:marRight w:val="0"/>
                  <w:marTop w:val="0"/>
                  <w:marBottom w:val="0"/>
                  <w:divBdr>
                    <w:top w:val="none" w:sz="0" w:space="0" w:color="auto"/>
                    <w:left w:val="none" w:sz="0" w:space="0" w:color="auto"/>
                    <w:bottom w:val="none" w:sz="0" w:space="0" w:color="auto"/>
                    <w:right w:val="none" w:sz="0" w:space="0" w:color="auto"/>
                  </w:divBdr>
                  <w:divsChild>
                    <w:div w:id="309987541">
                      <w:marLeft w:val="0"/>
                      <w:marRight w:val="0"/>
                      <w:marTop w:val="0"/>
                      <w:marBottom w:val="0"/>
                      <w:divBdr>
                        <w:top w:val="none" w:sz="0" w:space="0" w:color="auto"/>
                        <w:left w:val="none" w:sz="0" w:space="0" w:color="auto"/>
                        <w:bottom w:val="none" w:sz="0" w:space="0" w:color="auto"/>
                        <w:right w:val="none" w:sz="0" w:space="0" w:color="auto"/>
                      </w:divBdr>
                      <w:divsChild>
                        <w:div w:id="1442143232">
                          <w:marLeft w:val="0"/>
                          <w:marRight w:val="0"/>
                          <w:marTop w:val="0"/>
                          <w:marBottom w:val="0"/>
                          <w:divBdr>
                            <w:top w:val="none" w:sz="0" w:space="0" w:color="auto"/>
                            <w:left w:val="none" w:sz="0" w:space="0" w:color="auto"/>
                            <w:bottom w:val="none" w:sz="0" w:space="0" w:color="auto"/>
                            <w:right w:val="none" w:sz="0" w:space="0" w:color="auto"/>
                          </w:divBdr>
                          <w:divsChild>
                            <w:div w:id="1128164932">
                              <w:marLeft w:val="0"/>
                              <w:marRight w:val="0"/>
                              <w:marTop w:val="0"/>
                              <w:marBottom w:val="300"/>
                              <w:divBdr>
                                <w:top w:val="none" w:sz="0" w:space="0" w:color="auto"/>
                                <w:left w:val="none" w:sz="0" w:space="0" w:color="auto"/>
                                <w:bottom w:val="none" w:sz="0" w:space="0" w:color="auto"/>
                                <w:right w:val="none" w:sz="0" w:space="0" w:color="auto"/>
                              </w:divBdr>
                              <w:divsChild>
                                <w:div w:id="1541361064">
                                  <w:marLeft w:val="0"/>
                                  <w:marRight w:val="0"/>
                                  <w:marTop w:val="0"/>
                                  <w:marBottom w:val="0"/>
                                  <w:divBdr>
                                    <w:top w:val="none" w:sz="0" w:space="0" w:color="auto"/>
                                    <w:left w:val="none" w:sz="0" w:space="0" w:color="auto"/>
                                    <w:bottom w:val="none" w:sz="0" w:space="0" w:color="auto"/>
                                    <w:right w:val="none" w:sz="0" w:space="0" w:color="auto"/>
                                  </w:divBdr>
                                  <w:divsChild>
                                    <w:div w:id="1123188397">
                                      <w:marLeft w:val="0"/>
                                      <w:marRight w:val="0"/>
                                      <w:marTop w:val="0"/>
                                      <w:marBottom w:val="0"/>
                                      <w:divBdr>
                                        <w:top w:val="none" w:sz="0" w:space="0" w:color="auto"/>
                                        <w:left w:val="none" w:sz="0" w:space="0" w:color="auto"/>
                                        <w:bottom w:val="none" w:sz="0" w:space="0" w:color="auto"/>
                                        <w:right w:val="none" w:sz="0" w:space="0" w:color="auto"/>
                                      </w:divBdr>
                                      <w:divsChild>
                                        <w:div w:id="2132241407">
                                          <w:marLeft w:val="0"/>
                                          <w:marRight w:val="0"/>
                                          <w:marTop w:val="0"/>
                                          <w:marBottom w:val="0"/>
                                          <w:divBdr>
                                            <w:top w:val="none" w:sz="0" w:space="0" w:color="auto"/>
                                            <w:left w:val="none" w:sz="0" w:space="0" w:color="auto"/>
                                            <w:bottom w:val="none" w:sz="0" w:space="0" w:color="auto"/>
                                            <w:right w:val="none" w:sz="0" w:space="0" w:color="auto"/>
                                          </w:divBdr>
                                          <w:divsChild>
                                            <w:div w:id="1064333513">
                                              <w:marLeft w:val="0"/>
                                              <w:marRight w:val="0"/>
                                              <w:marTop w:val="0"/>
                                              <w:marBottom w:val="0"/>
                                              <w:divBdr>
                                                <w:top w:val="none" w:sz="0" w:space="0" w:color="auto"/>
                                                <w:left w:val="none" w:sz="0" w:space="0" w:color="auto"/>
                                                <w:bottom w:val="none" w:sz="0" w:space="0" w:color="auto"/>
                                                <w:right w:val="none" w:sz="0" w:space="0" w:color="auto"/>
                                              </w:divBdr>
                                              <w:divsChild>
                                                <w:div w:id="1656685993">
                                                  <w:marLeft w:val="0"/>
                                                  <w:marRight w:val="0"/>
                                                  <w:marTop w:val="0"/>
                                                  <w:marBottom w:val="0"/>
                                                  <w:divBdr>
                                                    <w:top w:val="none" w:sz="0" w:space="0" w:color="auto"/>
                                                    <w:left w:val="none" w:sz="0" w:space="0" w:color="auto"/>
                                                    <w:bottom w:val="none" w:sz="0" w:space="0" w:color="auto"/>
                                                    <w:right w:val="none" w:sz="0" w:space="0" w:color="auto"/>
                                                  </w:divBdr>
                                                  <w:divsChild>
                                                    <w:div w:id="592058409">
                                                      <w:marLeft w:val="0"/>
                                                      <w:marRight w:val="0"/>
                                                      <w:marTop w:val="0"/>
                                                      <w:marBottom w:val="0"/>
                                                      <w:divBdr>
                                                        <w:top w:val="none" w:sz="0" w:space="0" w:color="auto"/>
                                                        <w:left w:val="none" w:sz="0" w:space="0" w:color="auto"/>
                                                        <w:bottom w:val="none" w:sz="0" w:space="0" w:color="auto"/>
                                                        <w:right w:val="none" w:sz="0" w:space="0" w:color="auto"/>
                                                      </w:divBdr>
                                                      <w:divsChild>
                                                        <w:div w:id="16934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2887040">
      <w:bodyDiv w:val="1"/>
      <w:marLeft w:val="0"/>
      <w:marRight w:val="0"/>
      <w:marTop w:val="0"/>
      <w:marBottom w:val="0"/>
      <w:divBdr>
        <w:top w:val="none" w:sz="0" w:space="0" w:color="auto"/>
        <w:left w:val="none" w:sz="0" w:space="0" w:color="auto"/>
        <w:bottom w:val="none" w:sz="0" w:space="0" w:color="auto"/>
        <w:right w:val="none" w:sz="0" w:space="0" w:color="auto"/>
      </w:divBdr>
    </w:div>
    <w:div w:id="572469418">
      <w:bodyDiv w:val="1"/>
      <w:marLeft w:val="0"/>
      <w:marRight w:val="0"/>
      <w:marTop w:val="0"/>
      <w:marBottom w:val="0"/>
      <w:divBdr>
        <w:top w:val="none" w:sz="0" w:space="0" w:color="auto"/>
        <w:left w:val="none" w:sz="0" w:space="0" w:color="auto"/>
        <w:bottom w:val="none" w:sz="0" w:space="0" w:color="auto"/>
        <w:right w:val="none" w:sz="0" w:space="0" w:color="auto"/>
      </w:divBdr>
    </w:div>
    <w:div w:id="1062754560">
      <w:bodyDiv w:val="1"/>
      <w:marLeft w:val="0"/>
      <w:marRight w:val="0"/>
      <w:marTop w:val="0"/>
      <w:marBottom w:val="0"/>
      <w:divBdr>
        <w:top w:val="none" w:sz="0" w:space="0" w:color="auto"/>
        <w:left w:val="none" w:sz="0" w:space="0" w:color="auto"/>
        <w:bottom w:val="none" w:sz="0" w:space="0" w:color="auto"/>
        <w:right w:val="none" w:sz="0" w:space="0" w:color="auto"/>
      </w:divBdr>
    </w:div>
    <w:div w:id="1715349660">
      <w:bodyDiv w:val="1"/>
      <w:marLeft w:val="0"/>
      <w:marRight w:val="0"/>
      <w:marTop w:val="0"/>
      <w:marBottom w:val="0"/>
      <w:divBdr>
        <w:top w:val="none" w:sz="0" w:space="0" w:color="auto"/>
        <w:left w:val="none" w:sz="0" w:space="0" w:color="auto"/>
        <w:bottom w:val="none" w:sz="0" w:space="0" w:color="auto"/>
        <w:right w:val="none" w:sz="0" w:space="0" w:color="auto"/>
      </w:divBdr>
      <w:divsChild>
        <w:div w:id="1744519829">
          <w:marLeft w:val="0"/>
          <w:marRight w:val="0"/>
          <w:marTop w:val="0"/>
          <w:marBottom w:val="0"/>
          <w:divBdr>
            <w:top w:val="none" w:sz="0" w:space="0" w:color="auto"/>
            <w:left w:val="none" w:sz="0" w:space="0" w:color="auto"/>
            <w:bottom w:val="none" w:sz="0" w:space="0" w:color="auto"/>
            <w:right w:val="none" w:sz="0" w:space="0" w:color="auto"/>
          </w:divBdr>
          <w:divsChild>
            <w:div w:id="511603052">
              <w:marLeft w:val="0"/>
              <w:marRight w:val="0"/>
              <w:marTop w:val="0"/>
              <w:marBottom w:val="0"/>
              <w:divBdr>
                <w:top w:val="none" w:sz="0" w:space="0" w:color="auto"/>
                <w:left w:val="none" w:sz="0" w:space="0" w:color="auto"/>
                <w:bottom w:val="none" w:sz="0" w:space="0" w:color="auto"/>
                <w:right w:val="none" w:sz="0" w:space="0" w:color="auto"/>
              </w:divBdr>
              <w:divsChild>
                <w:div w:id="761074163">
                  <w:marLeft w:val="0"/>
                  <w:marRight w:val="0"/>
                  <w:marTop w:val="0"/>
                  <w:marBottom w:val="0"/>
                  <w:divBdr>
                    <w:top w:val="none" w:sz="0" w:space="0" w:color="auto"/>
                    <w:left w:val="none" w:sz="0" w:space="0" w:color="auto"/>
                    <w:bottom w:val="none" w:sz="0" w:space="0" w:color="auto"/>
                    <w:right w:val="none" w:sz="0" w:space="0" w:color="auto"/>
                  </w:divBdr>
                  <w:divsChild>
                    <w:div w:id="1159274649">
                      <w:marLeft w:val="0"/>
                      <w:marRight w:val="0"/>
                      <w:marTop w:val="0"/>
                      <w:marBottom w:val="0"/>
                      <w:divBdr>
                        <w:top w:val="none" w:sz="0" w:space="0" w:color="auto"/>
                        <w:left w:val="none" w:sz="0" w:space="0" w:color="auto"/>
                        <w:bottom w:val="none" w:sz="0" w:space="0" w:color="auto"/>
                        <w:right w:val="none" w:sz="0" w:space="0" w:color="auto"/>
                      </w:divBdr>
                      <w:divsChild>
                        <w:div w:id="1092355714">
                          <w:marLeft w:val="0"/>
                          <w:marRight w:val="0"/>
                          <w:marTop w:val="0"/>
                          <w:marBottom w:val="0"/>
                          <w:divBdr>
                            <w:top w:val="none" w:sz="0" w:space="0" w:color="auto"/>
                            <w:left w:val="none" w:sz="0" w:space="0" w:color="auto"/>
                            <w:bottom w:val="none" w:sz="0" w:space="0" w:color="auto"/>
                            <w:right w:val="none" w:sz="0" w:space="0" w:color="auto"/>
                          </w:divBdr>
                          <w:divsChild>
                            <w:div w:id="1617984065">
                              <w:marLeft w:val="0"/>
                              <w:marRight w:val="0"/>
                              <w:marTop w:val="0"/>
                              <w:marBottom w:val="300"/>
                              <w:divBdr>
                                <w:top w:val="none" w:sz="0" w:space="0" w:color="auto"/>
                                <w:left w:val="none" w:sz="0" w:space="0" w:color="auto"/>
                                <w:bottom w:val="none" w:sz="0" w:space="0" w:color="auto"/>
                                <w:right w:val="none" w:sz="0" w:space="0" w:color="auto"/>
                              </w:divBdr>
                              <w:divsChild>
                                <w:div w:id="711074844">
                                  <w:marLeft w:val="0"/>
                                  <w:marRight w:val="0"/>
                                  <w:marTop w:val="0"/>
                                  <w:marBottom w:val="0"/>
                                  <w:divBdr>
                                    <w:top w:val="none" w:sz="0" w:space="0" w:color="auto"/>
                                    <w:left w:val="none" w:sz="0" w:space="0" w:color="auto"/>
                                    <w:bottom w:val="none" w:sz="0" w:space="0" w:color="auto"/>
                                    <w:right w:val="none" w:sz="0" w:space="0" w:color="auto"/>
                                  </w:divBdr>
                                  <w:divsChild>
                                    <w:div w:id="1047071062">
                                      <w:marLeft w:val="0"/>
                                      <w:marRight w:val="0"/>
                                      <w:marTop w:val="0"/>
                                      <w:marBottom w:val="0"/>
                                      <w:divBdr>
                                        <w:top w:val="none" w:sz="0" w:space="0" w:color="auto"/>
                                        <w:left w:val="none" w:sz="0" w:space="0" w:color="auto"/>
                                        <w:bottom w:val="none" w:sz="0" w:space="0" w:color="auto"/>
                                        <w:right w:val="none" w:sz="0" w:space="0" w:color="auto"/>
                                      </w:divBdr>
                                      <w:divsChild>
                                        <w:div w:id="968708106">
                                          <w:marLeft w:val="0"/>
                                          <w:marRight w:val="0"/>
                                          <w:marTop w:val="0"/>
                                          <w:marBottom w:val="0"/>
                                          <w:divBdr>
                                            <w:top w:val="none" w:sz="0" w:space="0" w:color="auto"/>
                                            <w:left w:val="none" w:sz="0" w:space="0" w:color="auto"/>
                                            <w:bottom w:val="none" w:sz="0" w:space="0" w:color="auto"/>
                                            <w:right w:val="none" w:sz="0" w:space="0" w:color="auto"/>
                                          </w:divBdr>
                                          <w:divsChild>
                                            <w:div w:id="1833637097">
                                              <w:marLeft w:val="0"/>
                                              <w:marRight w:val="0"/>
                                              <w:marTop w:val="0"/>
                                              <w:marBottom w:val="0"/>
                                              <w:divBdr>
                                                <w:top w:val="none" w:sz="0" w:space="0" w:color="auto"/>
                                                <w:left w:val="none" w:sz="0" w:space="0" w:color="auto"/>
                                                <w:bottom w:val="none" w:sz="0" w:space="0" w:color="auto"/>
                                                <w:right w:val="none" w:sz="0" w:space="0" w:color="auto"/>
                                              </w:divBdr>
                                              <w:divsChild>
                                                <w:div w:id="1465729175">
                                                  <w:marLeft w:val="0"/>
                                                  <w:marRight w:val="0"/>
                                                  <w:marTop w:val="0"/>
                                                  <w:marBottom w:val="0"/>
                                                  <w:divBdr>
                                                    <w:top w:val="none" w:sz="0" w:space="0" w:color="auto"/>
                                                    <w:left w:val="none" w:sz="0" w:space="0" w:color="auto"/>
                                                    <w:bottom w:val="none" w:sz="0" w:space="0" w:color="auto"/>
                                                    <w:right w:val="none" w:sz="0" w:space="0" w:color="auto"/>
                                                  </w:divBdr>
                                                  <w:divsChild>
                                                    <w:div w:id="655260159">
                                                      <w:marLeft w:val="0"/>
                                                      <w:marRight w:val="0"/>
                                                      <w:marTop w:val="120"/>
                                                      <w:marBottom w:val="120"/>
                                                      <w:divBdr>
                                                        <w:top w:val="none" w:sz="0" w:space="0" w:color="auto"/>
                                                        <w:left w:val="none" w:sz="0" w:space="0" w:color="auto"/>
                                                        <w:bottom w:val="none" w:sz="0" w:space="0" w:color="auto"/>
                                                        <w:right w:val="none" w:sz="0" w:space="0" w:color="auto"/>
                                                      </w:divBdr>
                                                    </w:div>
                                                    <w:div w:id="1757751605">
                                                      <w:marLeft w:val="0"/>
                                                      <w:marRight w:val="0"/>
                                                      <w:marTop w:val="0"/>
                                                      <w:marBottom w:val="0"/>
                                                      <w:divBdr>
                                                        <w:top w:val="none" w:sz="0" w:space="0" w:color="auto"/>
                                                        <w:left w:val="none" w:sz="0" w:space="0" w:color="auto"/>
                                                        <w:bottom w:val="none" w:sz="0" w:space="0" w:color="auto"/>
                                                        <w:right w:val="none" w:sz="0" w:space="0" w:color="auto"/>
                                                      </w:divBdr>
                                                      <w:divsChild>
                                                        <w:div w:id="13568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040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6</Pages>
  <Words>2797</Words>
  <Characters>14312</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Letterhead - Template</vt:lpstr>
    </vt:vector>
  </TitlesOfParts>
  <Company>County of Napa</Company>
  <LinksUpToDate>false</LinksUpToDate>
  <CharactersWithSpaces>17075</CharactersWithSpaces>
  <SharedDoc>false</SharedDoc>
  <HLinks>
    <vt:vector size="6" baseType="variant">
      <vt:variant>
        <vt:i4>262248</vt:i4>
      </vt:variant>
      <vt:variant>
        <vt:i4>0</vt:i4>
      </vt:variant>
      <vt:variant>
        <vt:i4>0</vt:i4>
      </vt:variant>
      <vt:variant>
        <vt:i4>5</vt:i4>
      </vt:variant>
      <vt:variant>
        <vt:lpwstr>mailto:John.McDowell@countyofnapa.org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 Template</dc:title>
  <dc:subject>Design Guidelines</dc:subject>
  <dc:creator>County of Napa</dc:creator>
  <cp:lastModifiedBy>Morrison, David</cp:lastModifiedBy>
  <cp:revision>13</cp:revision>
  <cp:lastPrinted>2015-05-15T23:31:00Z</cp:lastPrinted>
  <dcterms:created xsi:type="dcterms:W3CDTF">2015-10-30T05:18:00Z</dcterms:created>
  <dcterms:modified xsi:type="dcterms:W3CDTF">2015-10-30T23:47:00Z</dcterms:modified>
</cp:coreProperties>
</file>