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C0D" w:rsidRDefault="00E85C0D" w:rsidP="00E85C0D">
      <w:pPr>
        <w:ind w:left="-720" w:right="-1080"/>
        <w:jc w:val="center"/>
        <w:rPr>
          <w:rFonts w:ascii="Arial" w:hAnsi="Arial"/>
          <w:sz w:val="144"/>
          <w:szCs w:val="144"/>
        </w:rPr>
      </w:pPr>
      <w:r>
        <w:rPr>
          <w:rFonts w:ascii="Arial" w:hAnsi="Arial"/>
          <w:sz w:val="144"/>
          <w:szCs w:val="144"/>
        </w:rPr>
        <w:t>“A”</w:t>
      </w:r>
    </w:p>
    <w:p w:rsidR="00E85C0D" w:rsidRDefault="00E85C0D" w:rsidP="00E85C0D">
      <w:pPr>
        <w:ind w:left="-720" w:right="-1080"/>
        <w:jc w:val="center"/>
        <w:rPr>
          <w:rFonts w:ascii="Arial" w:hAnsi="Arial"/>
          <w:sz w:val="56"/>
          <w:szCs w:val="56"/>
        </w:rPr>
      </w:pPr>
    </w:p>
    <w:p w:rsidR="00E85C0D" w:rsidRPr="002C078F" w:rsidRDefault="00E85C0D" w:rsidP="00E85C0D">
      <w:pPr>
        <w:ind w:left="-720" w:right="-1080"/>
        <w:jc w:val="center"/>
        <w:rPr>
          <w:rFonts w:ascii="Arial" w:hAnsi="Arial"/>
          <w:sz w:val="56"/>
          <w:szCs w:val="56"/>
        </w:rPr>
      </w:pPr>
      <w:r>
        <w:rPr>
          <w:rFonts w:ascii="Arial" w:hAnsi="Arial"/>
          <w:sz w:val="56"/>
          <w:szCs w:val="56"/>
        </w:rPr>
        <w:t>Recommended Findings</w:t>
      </w:r>
    </w:p>
    <w:p w:rsidR="00E85C0D" w:rsidRDefault="00E85C0D" w:rsidP="00E85C0D">
      <w:pPr>
        <w:rPr>
          <w:rFonts w:ascii="Arial" w:hAnsi="Arial"/>
          <w:sz w:val="144"/>
          <w:szCs w:val="144"/>
        </w:rPr>
      </w:pPr>
    </w:p>
    <w:p w:rsidR="00E85C0D" w:rsidRDefault="00E85C0D" w:rsidP="00E85C0D">
      <w:pPr>
        <w:rPr>
          <w:rFonts w:ascii="Arial" w:hAnsi="Arial"/>
          <w:sz w:val="144"/>
          <w:szCs w:val="144"/>
        </w:rPr>
      </w:pPr>
    </w:p>
    <w:p w:rsidR="00E85C0D" w:rsidRDefault="00E85C0D" w:rsidP="00E85C0D">
      <w:pPr>
        <w:rPr>
          <w:rFonts w:ascii="Arial" w:hAnsi="Arial"/>
          <w:sz w:val="144"/>
          <w:szCs w:val="144"/>
        </w:rPr>
      </w:pPr>
    </w:p>
    <w:p w:rsidR="00E85C0D" w:rsidRDefault="00E85C0D" w:rsidP="00E85C0D">
      <w:pPr>
        <w:rPr>
          <w:rFonts w:ascii="Arial" w:hAnsi="Arial"/>
          <w:sz w:val="144"/>
          <w:szCs w:val="144"/>
        </w:rPr>
      </w:pPr>
    </w:p>
    <w:p w:rsidR="00E85C0D" w:rsidRDefault="00E85C0D" w:rsidP="00E85C0D">
      <w:pPr>
        <w:rPr>
          <w:rFonts w:ascii="Arial" w:hAnsi="Arial"/>
          <w:sz w:val="144"/>
          <w:szCs w:val="144"/>
        </w:rPr>
      </w:pPr>
    </w:p>
    <w:p w:rsidR="00E85C0D" w:rsidRPr="00E85C0D" w:rsidRDefault="00E85C0D" w:rsidP="00E85C0D">
      <w:pPr>
        <w:rPr>
          <w:rFonts w:asciiTheme="minorHAnsi" w:hAnsiTheme="minorHAnsi"/>
          <w:sz w:val="20"/>
          <w:szCs w:val="20"/>
        </w:rPr>
      </w:pPr>
    </w:p>
    <w:p w:rsidR="00E85C0D" w:rsidRDefault="00E85C0D" w:rsidP="00E85C0D">
      <w:pPr>
        <w:autoSpaceDE w:val="0"/>
        <w:autoSpaceDN w:val="0"/>
        <w:adjustRightInd w:val="0"/>
        <w:rPr>
          <w:rFonts w:ascii="Arial" w:eastAsiaTheme="minorHAnsi" w:hAnsi="Arial"/>
          <w:b/>
          <w:bCs/>
          <w:color w:val="auto"/>
          <w:spacing w:val="0"/>
          <w:sz w:val="22"/>
          <w:szCs w:val="22"/>
        </w:rPr>
      </w:pPr>
    </w:p>
    <w:p w:rsidR="00E85C0D" w:rsidRDefault="00E85C0D" w:rsidP="00E85C0D">
      <w:pPr>
        <w:autoSpaceDE w:val="0"/>
        <w:autoSpaceDN w:val="0"/>
        <w:adjustRightInd w:val="0"/>
        <w:rPr>
          <w:rFonts w:ascii="Arial" w:eastAsiaTheme="minorHAnsi" w:hAnsi="Arial"/>
          <w:b/>
          <w:bCs/>
          <w:color w:val="auto"/>
          <w:spacing w:val="0"/>
          <w:sz w:val="22"/>
          <w:szCs w:val="22"/>
        </w:rPr>
      </w:pPr>
    </w:p>
    <w:p w:rsidR="00E85C0D" w:rsidRDefault="00E85C0D" w:rsidP="00E85C0D">
      <w:pPr>
        <w:autoSpaceDE w:val="0"/>
        <w:autoSpaceDN w:val="0"/>
        <w:adjustRightInd w:val="0"/>
        <w:rPr>
          <w:rFonts w:ascii="Arial" w:eastAsiaTheme="minorHAnsi" w:hAnsi="Arial"/>
          <w:b/>
          <w:bCs/>
          <w:color w:val="auto"/>
          <w:spacing w:val="0"/>
          <w:sz w:val="22"/>
          <w:szCs w:val="22"/>
        </w:rPr>
      </w:pPr>
    </w:p>
    <w:p w:rsidR="004E07C8" w:rsidRDefault="004E07C8" w:rsidP="00E85C0D">
      <w:pPr>
        <w:autoSpaceDE w:val="0"/>
        <w:autoSpaceDN w:val="0"/>
        <w:adjustRightInd w:val="0"/>
        <w:rPr>
          <w:rFonts w:ascii="Arial" w:eastAsiaTheme="minorHAnsi" w:hAnsi="Arial"/>
          <w:b/>
          <w:bCs/>
          <w:color w:val="auto"/>
          <w:spacing w:val="0"/>
          <w:sz w:val="22"/>
          <w:szCs w:val="22"/>
        </w:rPr>
      </w:pPr>
    </w:p>
    <w:p w:rsidR="00482262" w:rsidRDefault="00E85C0D" w:rsidP="00A101AA">
      <w:pPr>
        <w:autoSpaceDE w:val="0"/>
        <w:autoSpaceDN w:val="0"/>
        <w:adjustRightInd w:val="0"/>
        <w:jc w:val="center"/>
        <w:rPr>
          <w:rFonts w:ascii="Arial" w:eastAsiaTheme="minorHAnsi" w:hAnsi="Arial"/>
          <w:b/>
          <w:bCs/>
          <w:color w:val="auto"/>
          <w:spacing w:val="0"/>
          <w:sz w:val="22"/>
          <w:szCs w:val="22"/>
        </w:rPr>
      </w:pPr>
      <w:r w:rsidRPr="00E85C0D">
        <w:rPr>
          <w:rFonts w:ascii="Arial" w:eastAsiaTheme="minorHAnsi" w:hAnsi="Arial"/>
          <w:b/>
          <w:bCs/>
          <w:color w:val="auto"/>
          <w:spacing w:val="0"/>
          <w:sz w:val="22"/>
          <w:szCs w:val="22"/>
        </w:rPr>
        <w:lastRenderedPageBreak/>
        <w:t xml:space="preserve">PLANNING COMMISSION HEARING – </w:t>
      </w:r>
      <w:r w:rsidR="00B0067E">
        <w:rPr>
          <w:rFonts w:ascii="Arial" w:eastAsiaTheme="minorHAnsi" w:hAnsi="Arial"/>
          <w:b/>
          <w:bCs/>
          <w:color w:val="auto"/>
          <w:spacing w:val="0"/>
          <w:sz w:val="22"/>
          <w:szCs w:val="22"/>
        </w:rPr>
        <w:t>AUGUST 1</w:t>
      </w:r>
      <w:r w:rsidR="00576DA6">
        <w:rPr>
          <w:rFonts w:ascii="Arial" w:eastAsiaTheme="minorHAnsi" w:hAnsi="Arial"/>
          <w:b/>
          <w:bCs/>
          <w:color w:val="auto"/>
          <w:spacing w:val="0"/>
          <w:sz w:val="22"/>
          <w:szCs w:val="22"/>
        </w:rPr>
        <w:t>, 2018</w:t>
      </w:r>
    </w:p>
    <w:p w:rsidR="00E85C0D" w:rsidRDefault="00482262" w:rsidP="00A101AA">
      <w:pPr>
        <w:autoSpaceDE w:val="0"/>
        <w:autoSpaceDN w:val="0"/>
        <w:adjustRightInd w:val="0"/>
        <w:jc w:val="center"/>
        <w:rPr>
          <w:rFonts w:ascii="Arial" w:eastAsiaTheme="minorHAnsi" w:hAnsi="Arial"/>
          <w:b/>
          <w:bCs/>
          <w:color w:val="auto"/>
          <w:spacing w:val="0"/>
          <w:sz w:val="22"/>
          <w:szCs w:val="22"/>
        </w:rPr>
      </w:pPr>
      <w:r w:rsidRPr="00482262">
        <w:rPr>
          <w:rFonts w:ascii="Arial" w:eastAsiaTheme="minorHAnsi" w:hAnsi="Arial"/>
          <w:b/>
          <w:bCs/>
          <w:color w:val="auto"/>
          <w:spacing w:val="0"/>
          <w:sz w:val="22"/>
          <w:szCs w:val="22"/>
        </w:rPr>
        <w:t>RECOMMENDED FINDINGS</w:t>
      </w:r>
    </w:p>
    <w:p w:rsidR="00482262" w:rsidRPr="00E85C0D" w:rsidRDefault="00482262" w:rsidP="00A101AA">
      <w:pPr>
        <w:autoSpaceDE w:val="0"/>
        <w:autoSpaceDN w:val="0"/>
        <w:adjustRightInd w:val="0"/>
        <w:jc w:val="center"/>
        <w:rPr>
          <w:rFonts w:ascii="Arial" w:eastAsiaTheme="minorHAnsi" w:hAnsi="Arial"/>
          <w:b/>
          <w:bCs/>
          <w:color w:val="auto"/>
          <w:spacing w:val="0"/>
          <w:sz w:val="22"/>
          <w:szCs w:val="22"/>
        </w:rPr>
      </w:pPr>
    </w:p>
    <w:p w:rsidR="00E85C0D" w:rsidRPr="00E85C0D" w:rsidRDefault="006F2474" w:rsidP="00A101AA">
      <w:pPr>
        <w:autoSpaceDE w:val="0"/>
        <w:autoSpaceDN w:val="0"/>
        <w:adjustRightInd w:val="0"/>
        <w:jc w:val="center"/>
        <w:rPr>
          <w:rFonts w:ascii="Arial" w:eastAsiaTheme="minorHAnsi" w:hAnsi="Arial"/>
          <w:b/>
          <w:bCs/>
          <w:color w:val="auto"/>
          <w:spacing w:val="0"/>
          <w:sz w:val="22"/>
          <w:szCs w:val="22"/>
        </w:rPr>
      </w:pPr>
      <w:r>
        <w:rPr>
          <w:rFonts w:ascii="Arial" w:eastAsiaTheme="minorHAnsi" w:hAnsi="Arial"/>
          <w:b/>
          <w:bCs/>
          <w:color w:val="auto"/>
          <w:spacing w:val="0"/>
          <w:sz w:val="22"/>
          <w:szCs w:val="22"/>
        </w:rPr>
        <w:t>CASTLEVALE WINERY</w:t>
      </w:r>
    </w:p>
    <w:p w:rsidR="008D0330" w:rsidRDefault="00A101AA" w:rsidP="00A101AA">
      <w:pPr>
        <w:autoSpaceDE w:val="0"/>
        <w:autoSpaceDN w:val="0"/>
        <w:adjustRightInd w:val="0"/>
        <w:jc w:val="center"/>
        <w:rPr>
          <w:rFonts w:ascii="Arial" w:eastAsiaTheme="minorHAnsi" w:hAnsi="Arial"/>
          <w:b/>
          <w:bCs/>
          <w:color w:val="auto"/>
          <w:spacing w:val="0"/>
          <w:sz w:val="22"/>
          <w:szCs w:val="22"/>
        </w:rPr>
      </w:pPr>
      <w:r>
        <w:rPr>
          <w:rFonts w:ascii="Arial" w:eastAsiaTheme="minorHAnsi" w:hAnsi="Arial"/>
          <w:b/>
          <w:bCs/>
          <w:color w:val="auto"/>
          <w:spacing w:val="0"/>
          <w:sz w:val="22"/>
          <w:szCs w:val="22"/>
        </w:rPr>
        <w:t xml:space="preserve">USE PERMIT </w:t>
      </w:r>
      <w:r w:rsidR="006F2474">
        <w:rPr>
          <w:rFonts w:ascii="Arial" w:eastAsiaTheme="minorHAnsi" w:hAnsi="Arial"/>
          <w:b/>
          <w:bCs/>
          <w:color w:val="auto"/>
          <w:spacing w:val="0"/>
          <w:sz w:val="22"/>
          <w:szCs w:val="22"/>
        </w:rPr>
        <w:t>P09</w:t>
      </w:r>
      <w:r w:rsidR="00E85C0D" w:rsidRPr="00E85C0D">
        <w:rPr>
          <w:rFonts w:ascii="Arial" w:eastAsiaTheme="minorHAnsi" w:hAnsi="Arial"/>
          <w:b/>
          <w:bCs/>
          <w:color w:val="auto"/>
          <w:spacing w:val="0"/>
          <w:sz w:val="22"/>
          <w:szCs w:val="22"/>
        </w:rPr>
        <w:t>-00</w:t>
      </w:r>
      <w:r w:rsidR="006F2474">
        <w:rPr>
          <w:rFonts w:ascii="Arial" w:eastAsiaTheme="minorHAnsi" w:hAnsi="Arial"/>
          <w:b/>
          <w:bCs/>
          <w:color w:val="auto"/>
          <w:spacing w:val="0"/>
          <w:sz w:val="22"/>
          <w:szCs w:val="22"/>
        </w:rPr>
        <w:t>529</w:t>
      </w:r>
      <w:r w:rsidR="008D0330">
        <w:rPr>
          <w:rFonts w:ascii="Arial" w:eastAsiaTheme="minorHAnsi" w:hAnsi="Arial"/>
          <w:b/>
          <w:bCs/>
          <w:color w:val="auto"/>
          <w:spacing w:val="0"/>
          <w:sz w:val="22"/>
          <w:szCs w:val="22"/>
        </w:rPr>
        <w:t>-UP</w:t>
      </w:r>
    </w:p>
    <w:p w:rsidR="00E85C0D" w:rsidRPr="00E85C0D" w:rsidRDefault="006F2474" w:rsidP="00A101AA">
      <w:pPr>
        <w:autoSpaceDE w:val="0"/>
        <w:autoSpaceDN w:val="0"/>
        <w:adjustRightInd w:val="0"/>
        <w:jc w:val="center"/>
        <w:rPr>
          <w:rFonts w:ascii="Arial" w:eastAsiaTheme="minorHAnsi" w:hAnsi="Arial"/>
          <w:b/>
          <w:bCs/>
          <w:color w:val="auto"/>
          <w:spacing w:val="0"/>
          <w:sz w:val="22"/>
          <w:szCs w:val="22"/>
        </w:rPr>
      </w:pPr>
      <w:r>
        <w:rPr>
          <w:rFonts w:ascii="Arial" w:eastAsiaTheme="minorHAnsi" w:hAnsi="Arial"/>
          <w:b/>
          <w:bCs/>
          <w:color w:val="auto"/>
          <w:spacing w:val="0"/>
          <w:sz w:val="22"/>
          <w:szCs w:val="22"/>
        </w:rPr>
        <w:t>3450 CHILES POPEVALLEY ROAD</w:t>
      </w:r>
      <w:r w:rsidR="00622899">
        <w:rPr>
          <w:rFonts w:ascii="Arial" w:eastAsiaTheme="minorHAnsi" w:hAnsi="Arial"/>
          <w:b/>
          <w:bCs/>
          <w:color w:val="auto"/>
          <w:spacing w:val="0"/>
          <w:sz w:val="22"/>
          <w:szCs w:val="22"/>
        </w:rPr>
        <w:t xml:space="preserve">, </w:t>
      </w:r>
      <w:r>
        <w:rPr>
          <w:rFonts w:ascii="Arial" w:eastAsiaTheme="minorHAnsi" w:hAnsi="Arial"/>
          <w:b/>
          <w:bCs/>
          <w:color w:val="auto"/>
          <w:spacing w:val="0"/>
          <w:sz w:val="22"/>
          <w:szCs w:val="22"/>
        </w:rPr>
        <w:t>ST. HELENA</w:t>
      </w:r>
    </w:p>
    <w:p w:rsidR="00E85C0D" w:rsidRPr="00E85C0D" w:rsidRDefault="00B0067E" w:rsidP="00A101AA">
      <w:pPr>
        <w:autoSpaceDE w:val="0"/>
        <w:autoSpaceDN w:val="0"/>
        <w:adjustRightInd w:val="0"/>
        <w:jc w:val="center"/>
        <w:rPr>
          <w:rFonts w:ascii="Arial" w:eastAsiaTheme="minorHAnsi" w:hAnsi="Arial"/>
          <w:b/>
          <w:bCs/>
          <w:color w:val="auto"/>
          <w:spacing w:val="0"/>
          <w:sz w:val="22"/>
          <w:szCs w:val="22"/>
        </w:rPr>
      </w:pPr>
      <w:r>
        <w:rPr>
          <w:rFonts w:ascii="Arial" w:eastAsiaTheme="minorHAnsi" w:hAnsi="Arial"/>
          <w:b/>
          <w:bCs/>
          <w:color w:val="auto"/>
          <w:spacing w:val="0"/>
          <w:sz w:val="22"/>
          <w:szCs w:val="22"/>
        </w:rPr>
        <w:t>ASSESSOR</w:t>
      </w:r>
      <w:r w:rsidR="00A101AA">
        <w:rPr>
          <w:rFonts w:ascii="Arial" w:eastAsiaTheme="minorHAnsi" w:hAnsi="Arial"/>
          <w:b/>
          <w:bCs/>
          <w:color w:val="auto"/>
          <w:spacing w:val="0"/>
          <w:sz w:val="22"/>
          <w:szCs w:val="22"/>
        </w:rPr>
        <w:t xml:space="preserve"> PARCEL</w:t>
      </w:r>
      <w:r w:rsidR="00E85C0D" w:rsidRPr="00E85C0D">
        <w:rPr>
          <w:rFonts w:ascii="Arial" w:eastAsiaTheme="minorHAnsi" w:hAnsi="Arial"/>
          <w:b/>
          <w:bCs/>
          <w:color w:val="auto"/>
          <w:spacing w:val="0"/>
          <w:sz w:val="22"/>
          <w:szCs w:val="22"/>
        </w:rPr>
        <w:t xml:space="preserve"> N</w:t>
      </w:r>
      <w:r w:rsidR="00A101AA">
        <w:rPr>
          <w:rFonts w:ascii="Arial" w:eastAsiaTheme="minorHAnsi" w:hAnsi="Arial"/>
          <w:b/>
          <w:bCs/>
          <w:color w:val="auto"/>
          <w:spacing w:val="0"/>
          <w:sz w:val="22"/>
          <w:szCs w:val="22"/>
        </w:rPr>
        <w:t>O</w:t>
      </w:r>
      <w:r>
        <w:rPr>
          <w:rFonts w:ascii="Arial" w:eastAsiaTheme="minorHAnsi" w:hAnsi="Arial"/>
          <w:b/>
          <w:bCs/>
          <w:color w:val="auto"/>
          <w:spacing w:val="0"/>
          <w:sz w:val="22"/>
          <w:szCs w:val="22"/>
        </w:rPr>
        <w:t>S</w:t>
      </w:r>
      <w:r w:rsidR="006F2474">
        <w:rPr>
          <w:rFonts w:ascii="Arial" w:eastAsiaTheme="minorHAnsi" w:hAnsi="Arial"/>
          <w:b/>
          <w:bCs/>
          <w:color w:val="auto"/>
          <w:spacing w:val="0"/>
          <w:sz w:val="22"/>
          <w:szCs w:val="22"/>
        </w:rPr>
        <w:t>. 025-230-016</w:t>
      </w:r>
      <w:r>
        <w:rPr>
          <w:rFonts w:ascii="Arial" w:eastAsiaTheme="minorHAnsi" w:hAnsi="Arial"/>
          <w:b/>
          <w:bCs/>
          <w:color w:val="auto"/>
          <w:spacing w:val="0"/>
          <w:sz w:val="22"/>
          <w:szCs w:val="22"/>
        </w:rPr>
        <w:t xml:space="preserve"> and 025-230</w:t>
      </w:r>
      <w:r w:rsidR="00F065CE">
        <w:rPr>
          <w:rFonts w:ascii="Arial" w:eastAsiaTheme="minorHAnsi" w:hAnsi="Arial"/>
          <w:b/>
          <w:bCs/>
          <w:color w:val="auto"/>
          <w:spacing w:val="0"/>
          <w:sz w:val="22"/>
          <w:szCs w:val="22"/>
        </w:rPr>
        <w:t>-</w:t>
      </w:r>
      <w:r>
        <w:rPr>
          <w:rFonts w:ascii="Arial" w:eastAsiaTheme="minorHAnsi" w:hAnsi="Arial"/>
          <w:b/>
          <w:bCs/>
          <w:color w:val="auto"/>
          <w:spacing w:val="0"/>
          <w:sz w:val="22"/>
          <w:szCs w:val="22"/>
        </w:rPr>
        <w:t>014</w:t>
      </w:r>
    </w:p>
    <w:p w:rsidR="004E07C8" w:rsidRDefault="004E07C8" w:rsidP="00E85C0D">
      <w:pPr>
        <w:autoSpaceDE w:val="0"/>
        <w:autoSpaceDN w:val="0"/>
        <w:adjustRightInd w:val="0"/>
        <w:rPr>
          <w:rFonts w:ascii="Arial" w:eastAsiaTheme="minorHAnsi" w:hAnsi="Arial"/>
          <w:b/>
          <w:bCs/>
          <w:color w:val="auto"/>
          <w:spacing w:val="0"/>
          <w:sz w:val="22"/>
          <w:szCs w:val="22"/>
        </w:rPr>
      </w:pPr>
    </w:p>
    <w:p w:rsidR="00E85C0D" w:rsidRPr="00482262" w:rsidRDefault="00E85C0D" w:rsidP="00E85C0D">
      <w:pPr>
        <w:autoSpaceDE w:val="0"/>
        <w:autoSpaceDN w:val="0"/>
        <w:adjustRightInd w:val="0"/>
        <w:rPr>
          <w:rFonts w:ascii="Arial" w:eastAsiaTheme="minorHAnsi" w:hAnsi="Arial"/>
          <w:b/>
          <w:bCs/>
          <w:color w:val="auto"/>
          <w:spacing w:val="0"/>
          <w:sz w:val="22"/>
          <w:szCs w:val="22"/>
        </w:rPr>
      </w:pPr>
      <w:r w:rsidRPr="00482262">
        <w:rPr>
          <w:rFonts w:ascii="Arial" w:eastAsiaTheme="minorHAnsi" w:hAnsi="Arial"/>
          <w:b/>
          <w:bCs/>
          <w:color w:val="auto"/>
          <w:spacing w:val="0"/>
          <w:sz w:val="22"/>
          <w:szCs w:val="22"/>
          <w:u w:val="single"/>
        </w:rPr>
        <w:t>ENVIRONMENTAL</w:t>
      </w:r>
      <w:r w:rsidR="00482262">
        <w:rPr>
          <w:rFonts w:ascii="Arial" w:eastAsiaTheme="minorHAnsi" w:hAnsi="Arial"/>
          <w:b/>
          <w:bCs/>
          <w:color w:val="auto"/>
          <w:spacing w:val="0"/>
          <w:sz w:val="22"/>
          <w:szCs w:val="22"/>
        </w:rPr>
        <w:t>:</w:t>
      </w:r>
    </w:p>
    <w:p w:rsidR="007F6372" w:rsidRDefault="007F6372" w:rsidP="007F6372">
      <w:pPr>
        <w:autoSpaceDE w:val="0"/>
        <w:autoSpaceDN w:val="0"/>
        <w:adjustRightInd w:val="0"/>
        <w:rPr>
          <w:rFonts w:ascii="Arial" w:eastAsiaTheme="minorHAnsi" w:hAnsi="Arial"/>
          <w:bCs/>
          <w:color w:val="auto"/>
          <w:spacing w:val="0"/>
          <w:sz w:val="22"/>
          <w:szCs w:val="22"/>
        </w:rPr>
      </w:pPr>
    </w:p>
    <w:p w:rsidR="007F6372" w:rsidRPr="007F6372" w:rsidRDefault="007F6372" w:rsidP="007F6372">
      <w:pPr>
        <w:autoSpaceDE w:val="0"/>
        <w:autoSpaceDN w:val="0"/>
        <w:adjustRightInd w:val="0"/>
        <w:jc w:val="both"/>
        <w:rPr>
          <w:rFonts w:ascii="Arial" w:eastAsiaTheme="minorHAnsi" w:hAnsi="Arial"/>
          <w:bCs/>
          <w:color w:val="auto"/>
          <w:spacing w:val="0"/>
          <w:sz w:val="22"/>
          <w:szCs w:val="22"/>
        </w:rPr>
      </w:pPr>
      <w:r w:rsidRPr="007F6372">
        <w:rPr>
          <w:rFonts w:ascii="Arial" w:eastAsiaTheme="minorHAnsi" w:hAnsi="Arial"/>
          <w:bCs/>
          <w:color w:val="auto"/>
          <w:spacing w:val="0"/>
          <w:sz w:val="22"/>
          <w:szCs w:val="22"/>
        </w:rPr>
        <w:t xml:space="preserve">The Planning Commission (Commission) has received and reviewed the proposed </w:t>
      </w:r>
      <w:r w:rsidR="001208DA">
        <w:rPr>
          <w:rFonts w:ascii="Arial" w:eastAsiaTheme="minorHAnsi" w:hAnsi="Arial"/>
          <w:bCs/>
          <w:color w:val="auto"/>
          <w:spacing w:val="0"/>
          <w:sz w:val="22"/>
          <w:szCs w:val="22"/>
        </w:rPr>
        <w:t>Negative Declaration</w:t>
      </w:r>
      <w:r w:rsidRPr="007F6372">
        <w:rPr>
          <w:rFonts w:ascii="Arial" w:eastAsiaTheme="minorHAnsi" w:hAnsi="Arial"/>
          <w:bCs/>
          <w:color w:val="auto"/>
          <w:spacing w:val="0"/>
          <w:sz w:val="22"/>
          <w:szCs w:val="22"/>
        </w:rPr>
        <w:t xml:space="preserve"> pursuant to the provisions of the California Environmental Quality Act (CEQA) and of Napa County’s Local Procedures for Implementing CEQA, and finds that:</w:t>
      </w:r>
    </w:p>
    <w:p w:rsidR="007F6372" w:rsidRPr="007F6372" w:rsidRDefault="007F6372" w:rsidP="007F6372">
      <w:pPr>
        <w:autoSpaceDE w:val="0"/>
        <w:autoSpaceDN w:val="0"/>
        <w:adjustRightInd w:val="0"/>
        <w:jc w:val="both"/>
        <w:rPr>
          <w:rFonts w:ascii="Arial" w:eastAsiaTheme="minorHAnsi" w:hAnsi="Arial"/>
          <w:bCs/>
          <w:color w:val="auto"/>
          <w:spacing w:val="0"/>
          <w:sz w:val="22"/>
          <w:szCs w:val="22"/>
        </w:rPr>
      </w:pPr>
    </w:p>
    <w:p w:rsidR="007F6372" w:rsidRDefault="007F6372" w:rsidP="00546D19">
      <w:pPr>
        <w:autoSpaceDE w:val="0"/>
        <w:autoSpaceDN w:val="0"/>
        <w:adjustRightInd w:val="0"/>
        <w:ind w:left="360" w:hanging="360"/>
        <w:jc w:val="both"/>
        <w:rPr>
          <w:rFonts w:ascii="Arial" w:eastAsiaTheme="minorHAnsi" w:hAnsi="Arial"/>
          <w:bCs/>
          <w:color w:val="auto"/>
          <w:spacing w:val="0"/>
          <w:sz w:val="22"/>
          <w:szCs w:val="22"/>
        </w:rPr>
      </w:pPr>
      <w:r w:rsidRPr="007F6372">
        <w:rPr>
          <w:rFonts w:ascii="Arial" w:eastAsiaTheme="minorHAnsi" w:hAnsi="Arial"/>
          <w:bCs/>
          <w:color w:val="auto"/>
          <w:spacing w:val="0"/>
          <w:sz w:val="22"/>
          <w:szCs w:val="22"/>
        </w:rPr>
        <w:t>1.</w:t>
      </w:r>
      <w:r w:rsidRPr="007F6372">
        <w:rPr>
          <w:rFonts w:ascii="Arial" w:eastAsiaTheme="minorHAnsi" w:hAnsi="Arial"/>
          <w:bCs/>
          <w:color w:val="auto"/>
          <w:spacing w:val="0"/>
          <w:sz w:val="22"/>
          <w:szCs w:val="22"/>
        </w:rPr>
        <w:tab/>
      </w:r>
      <w:r w:rsidR="00546D19">
        <w:rPr>
          <w:rFonts w:ascii="Arial" w:eastAsiaTheme="minorHAnsi" w:hAnsi="Arial"/>
          <w:bCs/>
          <w:color w:val="auto"/>
          <w:spacing w:val="0"/>
          <w:sz w:val="22"/>
          <w:szCs w:val="22"/>
        </w:rPr>
        <w:t xml:space="preserve">The </w:t>
      </w:r>
      <w:r w:rsidR="00B0067E">
        <w:rPr>
          <w:rFonts w:ascii="Arial" w:eastAsiaTheme="minorHAnsi" w:hAnsi="Arial"/>
          <w:bCs/>
          <w:color w:val="auto"/>
          <w:spacing w:val="0"/>
          <w:sz w:val="22"/>
          <w:szCs w:val="22"/>
        </w:rPr>
        <w:t>Planning Commission has read and considered the Negative Declaration prior to taking action on said Negative Declaration and the proposed project</w:t>
      </w:r>
      <w:r w:rsidR="00546D19">
        <w:rPr>
          <w:rFonts w:ascii="Arial" w:eastAsiaTheme="minorHAnsi" w:hAnsi="Arial"/>
          <w:bCs/>
          <w:color w:val="auto"/>
          <w:spacing w:val="0"/>
          <w:sz w:val="22"/>
          <w:szCs w:val="22"/>
        </w:rPr>
        <w:t>.</w:t>
      </w:r>
    </w:p>
    <w:p w:rsidR="00546D19" w:rsidRDefault="00546D19" w:rsidP="00546D19">
      <w:pPr>
        <w:autoSpaceDE w:val="0"/>
        <w:autoSpaceDN w:val="0"/>
        <w:adjustRightInd w:val="0"/>
        <w:ind w:left="360" w:hanging="360"/>
        <w:jc w:val="both"/>
        <w:rPr>
          <w:rFonts w:ascii="Arial" w:eastAsiaTheme="minorHAnsi" w:hAnsi="Arial"/>
          <w:bCs/>
          <w:color w:val="auto"/>
          <w:spacing w:val="0"/>
          <w:sz w:val="22"/>
          <w:szCs w:val="22"/>
        </w:rPr>
      </w:pPr>
    </w:p>
    <w:p w:rsidR="00546D19" w:rsidRDefault="007F6372" w:rsidP="007F6372">
      <w:pPr>
        <w:autoSpaceDE w:val="0"/>
        <w:autoSpaceDN w:val="0"/>
        <w:adjustRightInd w:val="0"/>
        <w:ind w:left="360" w:hanging="360"/>
        <w:jc w:val="both"/>
        <w:rPr>
          <w:rFonts w:ascii="Arial" w:eastAsiaTheme="minorHAnsi" w:hAnsi="Arial"/>
          <w:bCs/>
          <w:color w:val="auto"/>
          <w:spacing w:val="0"/>
          <w:sz w:val="22"/>
          <w:szCs w:val="22"/>
        </w:rPr>
      </w:pPr>
      <w:r w:rsidRPr="007F6372">
        <w:rPr>
          <w:rFonts w:ascii="Arial" w:eastAsiaTheme="minorHAnsi" w:hAnsi="Arial"/>
          <w:bCs/>
          <w:color w:val="auto"/>
          <w:spacing w:val="0"/>
          <w:sz w:val="22"/>
          <w:szCs w:val="22"/>
        </w:rPr>
        <w:t>2.</w:t>
      </w:r>
      <w:r w:rsidRPr="007F6372">
        <w:rPr>
          <w:rFonts w:ascii="Arial" w:eastAsiaTheme="minorHAnsi" w:hAnsi="Arial"/>
          <w:bCs/>
          <w:color w:val="auto"/>
          <w:spacing w:val="0"/>
          <w:sz w:val="22"/>
          <w:szCs w:val="22"/>
        </w:rPr>
        <w:tab/>
      </w:r>
      <w:r w:rsidR="00B0067E">
        <w:rPr>
          <w:rFonts w:ascii="Arial" w:eastAsiaTheme="minorHAnsi" w:hAnsi="Arial"/>
          <w:bCs/>
          <w:color w:val="auto"/>
          <w:spacing w:val="0"/>
          <w:sz w:val="22"/>
          <w:szCs w:val="22"/>
        </w:rPr>
        <w:t>The Negative Declaration is based on independent judgement exercised by the Planning Commission</w:t>
      </w:r>
      <w:r w:rsidR="00FB1254">
        <w:rPr>
          <w:rFonts w:ascii="Arial" w:eastAsiaTheme="minorHAnsi" w:hAnsi="Arial"/>
          <w:bCs/>
          <w:color w:val="auto"/>
          <w:spacing w:val="0"/>
          <w:sz w:val="22"/>
          <w:szCs w:val="22"/>
        </w:rPr>
        <w:t>.</w:t>
      </w:r>
    </w:p>
    <w:p w:rsidR="00B0067E" w:rsidRDefault="00B0067E" w:rsidP="007F6372">
      <w:pPr>
        <w:autoSpaceDE w:val="0"/>
        <w:autoSpaceDN w:val="0"/>
        <w:adjustRightInd w:val="0"/>
        <w:ind w:left="360" w:hanging="360"/>
        <w:jc w:val="both"/>
        <w:rPr>
          <w:rFonts w:ascii="Arial" w:eastAsiaTheme="minorHAnsi" w:hAnsi="Arial"/>
          <w:bCs/>
          <w:color w:val="auto"/>
          <w:spacing w:val="0"/>
          <w:sz w:val="22"/>
          <w:szCs w:val="22"/>
        </w:rPr>
      </w:pPr>
    </w:p>
    <w:p w:rsidR="00B0067E" w:rsidRDefault="00B0067E" w:rsidP="007F6372">
      <w:pPr>
        <w:autoSpaceDE w:val="0"/>
        <w:autoSpaceDN w:val="0"/>
        <w:adjustRightInd w:val="0"/>
        <w:ind w:left="360" w:hanging="360"/>
        <w:jc w:val="both"/>
        <w:rPr>
          <w:rFonts w:ascii="Arial" w:eastAsiaTheme="minorHAnsi" w:hAnsi="Arial"/>
          <w:bCs/>
          <w:color w:val="auto"/>
          <w:spacing w:val="0"/>
          <w:sz w:val="22"/>
          <w:szCs w:val="22"/>
        </w:rPr>
      </w:pPr>
      <w:r>
        <w:rPr>
          <w:rFonts w:ascii="Arial" w:eastAsiaTheme="minorHAnsi" w:hAnsi="Arial"/>
          <w:bCs/>
          <w:color w:val="auto"/>
          <w:spacing w:val="0"/>
          <w:sz w:val="22"/>
          <w:szCs w:val="22"/>
        </w:rPr>
        <w:t>3.</w:t>
      </w:r>
      <w:r>
        <w:rPr>
          <w:rFonts w:ascii="Arial" w:eastAsiaTheme="minorHAnsi" w:hAnsi="Arial"/>
          <w:bCs/>
          <w:color w:val="auto"/>
          <w:spacing w:val="0"/>
          <w:sz w:val="22"/>
          <w:szCs w:val="22"/>
        </w:rPr>
        <w:tab/>
        <w:t>The Negative Declaration was prepared and considered in accordance with the requirements of the California Environmental Quality Act (CEQA).</w:t>
      </w:r>
    </w:p>
    <w:p w:rsidR="00B0067E" w:rsidRDefault="00B0067E" w:rsidP="007F6372">
      <w:pPr>
        <w:autoSpaceDE w:val="0"/>
        <w:autoSpaceDN w:val="0"/>
        <w:adjustRightInd w:val="0"/>
        <w:ind w:left="360" w:hanging="360"/>
        <w:jc w:val="both"/>
        <w:rPr>
          <w:rFonts w:ascii="Arial" w:eastAsiaTheme="minorHAnsi" w:hAnsi="Arial"/>
          <w:bCs/>
          <w:color w:val="auto"/>
          <w:spacing w:val="0"/>
          <w:sz w:val="22"/>
          <w:szCs w:val="22"/>
        </w:rPr>
      </w:pPr>
    </w:p>
    <w:p w:rsidR="00B0067E" w:rsidRDefault="00B0067E" w:rsidP="007F6372">
      <w:pPr>
        <w:autoSpaceDE w:val="0"/>
        <w:autoSpaceDN w:val="0"/>
        <w:adjustRightInd w:val="0"/>
        <w:ind w:left="360" w:hanging="360"/>
        <w:jc w:val="both"/>
        <w:rPr>
          <w:rFonts w:ascii="Arial" w:eastAsiaTheme="minorHAnsi" w:hAnsi="Arial"/>
          <w:bCs/>
          <w:color w:val="auto"/>
          <w:spacing w:val="0"/>
          <w:sz w:val="22"/>
          <w:szCs w:val="22"/>
        </w:rPr>
      </w:pPr>
      <w:r>
        <w:rPr>
          <w:rFonts w:ascii="Arial" w:eastAsiaTheme="minorHAnsi" w:hAnsi="Arial"/>
          <w:bCs/>
          <w:color w:val="auto"/>
          <w:spacing w:val="0"/>
          <w:sz w:val="22"/>
          <w:szCs w:val="22"/>
        </w:rPr>
        <w:t>4.</w:t>
      </w:r>
      <w:r>
        <w:rPr>
          <w:rFonts w:ascii="Arial" w:eastAsiaTheme="minorHAnsi" w:hAnsi="Arial"/>
          <w:bCs/>
          <w:color w:val="auto"/>
          <w:spacing w:val="0"/>
          <w:sz w:val="22"/>
          <w:szCs w:val="22"/>
        </w:rPr>
        <w:tab/>
        <w:t>There is no substantial evidence in the record as a whole, that the project will have a significant effect on the environment.</w:t>
      </w:r>
    </w:p>
    <w:p w:rsidR="00B0067E" w:rsidRDefault="00B0067E" w:rsidP="007F6372">
      <w:pPr>
        <w:autoSpaceDE w:val="0"/>
        <w:autoSpaceDN w:val="0"/>
        <w:adjustRightInd w:val="0"/>
        <w:ind w:left="360" w:hanging="360"/>
        <w:jc w:val="both"/>
        <w:rPr>
          <w:rFonts w:ascii="Arial" w:eastAsiaTheme="minorHAnsi" w:hAnsi="Arial"/>
          <w:bCs/>
          <w:color w:val="auto"/>
          <w:spacing w:val="0"/>
          <w:sz w:val="22"/>
          <w:szCs w:val="22"/>
        </w:rPr>
      </w:pPr>
    </w:p>
    <w:p w:rsidR="00546D19" w:rsidRDefault="00B0067E" w:rsidP="007F6372">
      <w:pPr>
        <w:autoSpaceDE w:val="0"/>
        <w:autoSpaceDN w:val="0"/>
        <w:adjustRightInd w:val="0"/>
        <w:ind w:left="360" w:hanging="360"/>
        <w:jc w:val="both"/>
        <w:rPr>
          <w:rFonts w:ascii="Arial" w:eastAsiaTheme="minorHAnsi" w:hAnsi="Arial"/>
          <w:bCs/>
          <w:color w:val="auto"/>
          <w:spacing w:val="0"/>
          <w:sz w:val="22"/>
          <w:szCs w:val="22"/>
        </w:rPr>
      </w:pPr>
      <w:r>
        <w:rPr>
          <w:rFonts w:ascii="Arial" w:eastAsiaTheme="minorHAnsi" w:hAnsi="Arial"/>
          <w:bCs/>
          <w:color w:val="auto"/>
          <w:spacing w:val="0"/>
          <w:sz w:val="22"/>
          <w:szCs w:val="22"/>
        </w:rPr>
        <w:t>5.</w:t>
      </w:r>
      <w:r>
        <w:rPr>
          <w:rFonts w:ascii="Arial" w:eastAsiaTheme="minorHAnsi" w:hAnsi="Arial"/>
          <w:bCs/>
          <w:color w:val="auto"/>
          <w:spacing w:val="0"/>
          <w:sz w:val="22"/>
          <w:szCs w:val="22"/>
        </w:rPr>
        <w:tab/>
        <w:t>There is no evidence, in considering the record as a whole that the proposed project will have a potential adverse effect on wildlife resources or habitat upon which the wildlife depends.</w:t>
      </w:r>
    </w:p>
    <w:p w:rsidR="00B0067E" w:rsidRDefault="00B0067E" w:rsidP="007F6372">
      <w:pPr>
        <w:autoSpaceDE w:val="0"/>
        <w:autoSpaceDN w:val="0"/>
        <w:adjustRightInd w:val="0"/>
        <w:ind w:left="360" w:hanging="360"/>
        <w:jc w:val="both"/>
        <w:rPr>
          <w:rFonts w:ascii="Arial" w:eastAsiaTheme="minorHAnsi" w:hAnsi="Arial"/>
          <w:bCs/>
          <w:color w:val="auto"/>
          <w:spacing w:val="0"/>
          <w:sz w:val="22"/>
          <w:szCs w:val="22"/>
        </w:rPr>
      </w:pPr>
    </w:p>
    <w:p w:rsidR="007F6372" w:rsidRPr="007F6372" w:rsidRDefault="00F971DF" w:rsidP="007F6372">
      <w:pPr>
        <w:autoSpaceDE w:val="0"/>
        <w:autoSpaceDN w:val="0"/>
        <w:adjustRightInd w:val="0"/>
        <w:ind w:left="360" w:hanging="360"/>
        <w:jc w:val="both"/>
        <w:rPr>
          <w:rFonts w:ascii="Arial" w:eastAsiaTheme="minorHAnsi" w:hAnsi="Arial"/>
          <w:bCs/>
          <w:color w:val="auto"/>
          <w:spacing w:val="0"/>
          <w:sz w:val="22"/>
          <w:szCs w:val="22"/>
        </w:rPr>
      </w:pPr>
      <w:r>
        <w:rPr>
          <w:rFonts w:ascii="Arial" w:eastAsiaTheme="minorHAnsi" w:hAnsi="Arial"/>
          <w:bCs/>
          <w:color w:val="auto"/>
          <w:spacing w:val="0"/>
          <w:sz w:val="22"/>
          <w:szCs w:val="22"/>
        </w:rPr>
        <w:t>6</w:t>
      </w:r>
      <w:r w:rsidR="00FB1254">
        <w:rPr>
          <w:rFonts w:ascii="Arial" w:eastAsiaTheme="minorHAnsi" w:hAnsi="Arial"/>
          <w:bCs/>
          <w:color w:val="auto"/>
          <w:spacing w:val="0"/>
          <w:sz w:val="22"/>
          <w:szCs w:val="22"/>
        </w:rPr>
        <w:t>.</w:t>
      </w:r>
      <w:r w:rsidR="00FB1254">
        <w:rPr>
          <w:rFonts w:ascii="Arial" w:eastAsiaTheme="minorHAnsi" w:hAnsi="Arial"/>
          <w:bCs/>
          <w:color w:val="auto"/>
          <w:spacing w:val="0"/>
          <w:sz w:val="22"/>
          <w:szCs w:val="22"/>
        </w:rPr>
        <w:tab/>
      </w:r>
      <w:r w:rsidR="007F6372" w:rsidRPr="007F6372">
        <w:rPr>
          <w:rFonts w:ascii="Arial" w:eastAsiaTheme="minorHAnsi" w:hAnsi="Arial"/>
          <w:bCs/>
          <w:color w:val="auto"/>
          <w:spacing w:val="0"/>
          <w:sz w:val="22"/>
          <w:szCs w:val="22"/>
        </w:rPr>
        <w:t>The site of this proposed project is not on any of the lists of hazardous waste sites enumerated under Government Code Section 65962.5 and is not within the boundaries of any airport land use plan.</w:t>
      </w:r>
    </w:p>
    <w:p w:rsidR="007F6372" w:rsidRPr="007F6372" w:rsidRDefault="007F6372" w:rsidP="007F6372">
      <w:pPr>
        <w:autoSpaceDE w:val="0"/>
        <w:autoSpaceDN w:val="0"/>
        <w:adjustRightInd w:val="0"/>
        <w:ind w:left="360" w:hanging="360"/>
        <w:jc w:val="both"/>
        <w:rPr>
          <w:rFonts w:ascii="Arial" w:eastAsiaTheme="minorHAnsi" w:hAnsi="Arial"/>
          <w:bCs/>
          <w:color w:val="auto"/>
          <w:spacing w:val="0"/>
          <w:sz w:val="22"/>
          <w:szCs w:val="22"/>
        </w:rPr>
      </w:pPr>
    </w:p>
    <w:p w:rsidR="00E85C0D" w:rsidRDefault="00F971DF" w:rsidP="007F6372">
      <w:pPr>
        <w:autoSpaceDE w:val="0"/>
        <w:autoSpaceDN w:val="0"/>
        <w:adjustRightInd w:val="0"/>
        <w:ind w:left="360" w:hanging="360"/>
        <w:jc w:val="both"/>
        <w:rPr>
          <w:rFonts w:ascii="Arial" w:eastAsiaTheme="minorHAnsi" w:hAnsi="Arial"/>
          <w:bCs/>
          <w:color w:val="auto"/>
          <w:spacing w:val="0"/>
          <w:sz w:val="22"/>
          <w:szCs w:val="22"/>
        </w:rPr>
      </w:pPr>
      <w:r>
        <w:rPr>
          <w:rFonts w:ascii="Arial" w:eastAsiaTheme="minorHAnsi" w:hAnsi="Arial"/>
          <w:bCs/>
          <w:color w:val="auto"/>
          <w:spacing w:val="0"/>
          <w:sz w:val="22"/>
          <w:szCs w:val="22"/>
        </w:rPr>
        <w:t>7</w:t>
      </w:r>
      <w:r w:rsidR="007F6372" w:rsidRPr="007F6372">
        <w:rPr>
          <w:rFonts w:ascii="Arial" w:eastAsiaTheme="minorHAnsi" w:hAnsi="Arial"/>
          <w:bCs/>
          <w:color w:val="auto"/>
          <w:spacing w:val="0"/>
          <w:sz w:val="22"/>
          <w:szCs w:val="22"/>
        </w:rPr>
        <w:t>.</w:t>
      </w:r>
      <w:r w:rsidR="007F6372" w:rsidRPr="007F6372">
        <w:rPr>
          <w:rFonts w:ascii="Arial" w:eastAsiaTheme="minorHAnsi" w:hAnsi="Arial"/>
          <w:bCs/>
          <w:color w:val="auto"/>
          <w:spacing w:val="0"/>
          <w:sz w:val="22"/>
          <w:szCs w:val="22"/>
        </w:rPr>
        <w:tab/>
        <w:t>The Secretary of the Commission is the custodian of the records of the proceedings on which this decision is based. The records are located at the Napa County Planning, Building &amp; Environmental Services Department, 1195 Th</w:t>
      </w:r>
      <w:r w:rsidR="007F6372">
        <w:rPr>
          <w:rFonts w:ascii="Arial" w:eastAsiaTheme="minorHAnsi" w:hAnsi="Arial"/>
          <w:bCs/>
          <w:color w:val="auto"/>
          <w:spacing w:val="0"/>
          <w:sz w:val="22"/>
          <w:szCs w:val="22"/>
        </w:rPr>
        <w:t xml:space="preserve">ird Street, Second Floor, Napa, </w:t>
      </w:r>
      <w:r w:rsidR="007F6372" w:rsidRPr="007F6372">
        <w:rPr>
          <w:rFonts w:ascii="Arial" w:eastAsiaTheme="minorHAnsi" w:hAnsi="Arial"/>
          <w:bCs/>
          <w:color w:val="auto"/>
          <w:spacing w:val="0"/>
          <w:sz w:val="22"/>
          <w:szCs w:val="22"/>
        </w:rPr>
        <w:t>California.</w:t>
      </w:r>
    </w:p>
    <w:p w:rsidR="00E85C0D" w:rsidRPr="00E85C0D" w:rsidRDefault="00E85C0D" w:rsidP="007F6372">
      <w:pPr>
        <w:spacing w:after="200" w:line="276" w:lineRule="auto"/>
        <w:ind w:left="360" w:hanging="360"/>
        <w:contextualSpacing/>
        <w:rPr>
          <w:rFonts w:ascii="Arial" w:eastAsiaTheme="minorHAnsi" w:hAnsi="Arial"/>
          <w:color w:val="auto"/>
          <w:spacing w:val="0"/>
          <w:sz w:val="22"/>
          <w:szCs w:val="22"/>
        </w:rPr>
      </w:pPr>
    </w:p>
    <w:p w:rsidR="008E73D9" w:rsidRPr="00C349E4" w:rsidRDefault="008E73D9" w:rsidP="00C349E4">
      <w:pPr>
        <w:autoSpaceDE w:val="0"/>
        <w:autoSpaceDN w:val="0"/>
        <w:adjustRightInd w:val="0"/>
        <w:rPr>
          <w:rFonts w:ascii="Arial" w:eastAsiaTheme="minorHAnsi" w:hAnsi="Arial"/>
          <w:bCs/>
          <w:color w:val="auto"/>
          <w:spacing w:val="0"/>
          <w:sz w:val="22"/>
          <w:szCs w:val="22"/>
        </w:rPr>
      </w:pPr>
    </w:p>
    <w:p w:rsidR="00E85C0D" w:rsidRPr="00E85C0D" w:rsidRDefault="00E85C0D" w:rsidP="00E85C0D">
      <w:pPr>
        <w:autoSpaceDE w:val="0"/>
        <w:autoSpaceDN w:val="0"/>
        <w:adjustRightInd w:val="0"/>
        <w:rPr>
          <w:rFonts w:ascii="Arial" w:eastAsiaTheme="minorHAnsi" w:hAnsi="Arial"/>
          <w:b/>
          <w:bCs/>
          <w:color w:val="auto"/>
          <w:spacing w:val="0"/>
          <w:sz w:val="22"/>
          <w:szCs w:val="22"/>
        </w:rPr>
      </w:pPr>
      <w:r w:rsidRPr="00482262">
        <w:rPr>
          <w:rFonts w:ascii="Arial" w:eastAsiaTheme="minorHAnsi" w:hAnsi="Arial"/>
          <w:b/>
          <w:bCs/>
          <w:color w:val="auto"/>
          <w:spacing w:val="0"/>
          <w:sz w:val="22"/>
          <w:szCs w:val="22"/>
          <w:u w:val="single"/>
        </w:rPr>
        <w:t>USE PERMIT</w:t>
      </w:r>
      <w:r w:rsidRPr="00E85C0D">
        <w:rPr>
          <w:rFonts w:ascii="Arial" w:eastAsiaTheme="minorHAnsi" w:hAnsi="Arial"/>
          <w:b/>
          <w:bCs/>
          <w:color w:val="auto"/>
          <w:spacing w:val="0"/>
          <w:sz w:val="22"/>
          <w:szCs w:val="22"/>
        </w:rPr>
        <w:t>:</w:t>
      </w:r>
    </w:p>
    <w:p w:rsidR="00482262" w:rsidRDefault="00482262" w:rsidP="00E85C0D">
      <w:pPr>
        <w:autoSpaceDE w:val="0"/>
        <w:autoSpaceDN w:val="0"/>
        <w:adjustRightInd w:val="0"/>
        <w:rPr>
          <w:rFonts w:ascii="Arial" w:eastAsiaTheme="minorHAnsi" w:hAnsi="Arial"/>
          <w:color w:val="auto"/>
          <w:spacing w:val="0"/>
          <w:sz w:val="22"/>
          <w:szCs w:val="22"/>
        </w:rPr>
      </w:pPr>
    </w:p>
    <w:p w:rsidR="00E85C0D" w:rsidRPr="00E85C0D" w:rsidRDefault="00E85C0D" w:rsidP="00482262">
      <w:pPr>
        <w:autoSpaceDE w:val="0"/>
        <w:autoSpaceDN w:val="0"/>
        <w:adjustRightInd w:val="0"/>
        <w:jc w:val="both"/>
        <w:rPr>
          <w:rFonts w:ascii="Arial" w:eastAsiaTheme="minorHAnsi" w:hAnsi="Arial"/>
          <w:color w:val="auto"/>
          <w:spacing w:val="0"/>
          <w:sz w:val="22"/>
          <w:szCs w:val="22"/>
        </w:rPr>
      </w:pPr>
      <w:r w:rsidRPr="00E85C0D">
        <w:rPr>
          <w:rFonts w:ascii="Arial" w:eastAsiaTheme="minorHAnsi" w:hAnsi="Arial"/>
          <w:color w:val="auto"/>
          <w:spacing w:val="0"/>
          <w:sz w:val="22"/>
          <w:szCs w:val="22"/>
        </w:rPr>
        <w:t>The Commission has reviewed the use permit request in accordance with the requirements of</w:t>
      </w:r>
    </w:p>
    <w:p w:rsidR="00E85C0D" w:rsidRPr="00E85C0D" w:rsidRDefault="00E85C0D" w:rsidP="00482262">
      <w:pPr>
        <w:autoSpaceDE w:val="0"/>
        <w:autoSpaceDN w:val="0"/>
        <w:adjustRightInd w:val="0"/>
        <w:jc w:val="both"/>
        <w:rPr>
          <w:rFonts w:ascii="Arial" w:eastAsiaTheme="minorHAnsi" w:hAnsi="Arial"/>
          <w:color w:val="auto"/>
          <w:spacing w:val="0"/>
          <w:sz w:val="22"/>
          <w:szCs w:val="22"/>
        </w:rPr>
      </w:pPr>
      <w:r w:rsidRPr="00E85C0D">
        <w:rPr>
          <w:rFonts w:ascii="Arial" w:eastAsiaTheme="minorHAnsi" w:hAnsi="Arial"/>
          <w:color w:val="auto"/>
          <w:spacing w:val="0"/>
          <w:sz w:val="22"/>
          <w:szCs w:val="22"/>
        </w:rPr>
        <w:t>the Napa County Code Section 18.124.070 and makes the following findings:</w:t>
      </w:r>
    </w:p>
    <w:p w:rsidR="00E85C0D" w:rsidRPr="00E85C0D" w:rsidRDefault="00E85C0D" w:rsidP="00482262">
      <w:pPr>
        <w:autoSpaceDE w:val="0"/>
        <w:autoSpaceDN w:val="0"/>
        <w:adjustRightInd w:val="0"/>
        <w:jc w:val="both"/>
        <w:rPr>
          <w:rFonts w:ascii="Arial" w:eastAsiaTheme="minorHAnsi" w:hAnsi="Arial"/>
          <w:color w:val="auto"/>
          <w:spacing w:val="0"/>
          <w:sz w:val="22"/>
          <w:szCs w:val="22"/>
        </w:rPr>
      </w:pPr>
    </w:p>
    <w:p w:rsidR="00E85C0D" w:rsidRPr="00E85C0D" w:rsidRDefault="00E85C0D" w:rsidP="00F065CE">
      <w:pPr>
        <w:numPr>
          <w:ilvl w:val="0"/>
          <w:numId w:val="5"/>
        </w:numPr>
        <w:autoSpaceDE w:val="0"/>
        <w:autoSpaceDN w:val="0"/>
        <w:adjustRightInd w:val="0"/>
        <w:spacing w:after="200" w:line="276" w:lineRule="auto"/>
        <w:contextualSpacing/>
        <w:jc w:val="both"/>
        <w:rPr>
          <w:rFonts w:ascii="Arial" w:eastAsiaTheme="minorHAnsi" w:hAnsi="Arial"/>
          <w:color w:val="auto"/>
          <w:spacing w:val="0"/>
          <w:sz w:val="22"/>
          <w:szCs w:val="22"/>
        </w:rPr>
      </w:pPr>
      <w:r w:rsidRPr="00E85C0D">
        <w:rPr>
          <w:rFonts w:ascii="Arial" w:eastAsiaTheme="minorHAnsi" w:hAnsi="Arial"/>
          <w:color w:val="auto"/>
          <w:spacing w:val="0"/>
          <w:sz w:val="22"/>
          <w:szCs w:val="22"/>
        </w:rPr>
        <w:t>The Commission has the power to issue the Use Permit under the Zoning Regulations in effect as applied to property.</w:t>
      </w:r>
    </w:p>
    <w:p w:rsidR="00E85C0D" w:rsidRPr="00E85C0D" w:rsidRDefault="00E85C0D" w:rsidP="00482262">
      <w:pPr>
        <w:autoSpaceDE w:val="0"/>
        <w:autoSpaceDN w:val="0"/>
        <w:adjustRightInd w:val="0"/>
        <w:jc w:val="both"/>
        <w:rPr>
          <w:rFonts w:ascii="Arial" w:eastAsiaTheme="minorHAnsi" w:hAnsi="Arial"/>
          <w:color w:val="auto"/>
          <w:spacing w:val="0"/>
          <w:sz w:val="22"/>
          <w:szCs w:val="22"/>
        </w:rPr>
      </w:pPr>
    </w:p>
    <w:p w:rsidR="00E85C0D" w:rsidRPr="00482262" w:rsidRDefault="00E85C0D" w:rsidP="00482262">
      <w:pPr>
        <w:autoSpaceDE w:val="0"/>
        <w:autoSpaceDN w:val="0"/>
        <w:adjustRightInd w:val="0"/>
        <w:ind w:left="450"/>
        <w:jc w:val="both"/>
        <w:rPr>
          <w:rFonts w:ascii="Arial" w:eastAsiaTheme="minorHAnsi" w:hAnsi="Arial"/>
          <w:color w:val="auto"/>
          <w:spacing w:val="0"/>
          <w:sz w:val="22"/>
          <w:szCs w:val="22"/>
        </w:rPr>
      </w:pPr>
      <w:r w:rsidRPr="00482262">
        <w:rPr>
          <w:rFonts w:ascii="Arial" w:eastAsiaTheme="minorHAnsi" w:hAnsi="Arial"/>
          <w:b/>
          <w:bCs/>
          <w:color w:val="auto"/>
          <w:spacing w:val="0"/>
          <w:sz w:val="22"/>
          <w:szCs w:val="22"/>
        </w:rPr>
        <w:t xml:space="preserve">Analysis: </w:t>
      </w:r>
      <w:r w:rsidR="00B378C6" w:rsidRPr="00482262">
        <w:rPr>
          <w:rFonts w:ascii="Arial" w:eastAsiaTheme="minorHAnsi" w:hAnsi="Arial"/>
          <w:bCs/>
          <w:color w:val="auto"/>
          <w:spacing w:val="0"/>
          <w:sz w:val="22"/>
          <w:szCs w:val="22"/>
        </w:rPr>
        <w:t>The p</w:t>
      </w:r>
      <w:r w:rsidR="00FB1254">
        <w:rPr>
          <w:rFonts w:ascii="Arial" w:eastAsiaTheme="minorHAnsi" w:hAnsi="Arial"/>
          <w:bCs/>
          <w:color w:val="auto"/>
          <w:spacing w:val="0"/>
          <w:sz w:val="22"/>
          <w:szCs w:val="22"/>
        </w:rPr>
        <w:t>roject is consistent with the AW</w:t>
      </w:r>
      <w:r w:rsidR="00B378C6" w:rsidRPr="00482262">
        <w:rPr>
          <w:rFonts w:ascii="Arial" w:eastAsiaTheme="minorHAnsi" w:hAnsi="Arial"/>
          <w:bCs/>
          <w:color w:val="auto"/>
          <w:spacing w:val="0"/>
          <w:sz w:val="22"/>
          <w:szCs w:val="22"/>
        </w:rPr>
        <w:t xml:space="preserve"> (Agricultural </w:t>
      </w:r>
      <w:r w:rsidR="00FB1254">
        <w:rPr>
          <w:rFonts w:ascii="Arial" w:eastAsiaTheme="minorHAnsi" w:hAnsi="Arial"/>
          <w:bCs/>
          <w:color w:val="auto"/>
          <w:spacing w:val="0"/>
          <w:sz w:val="22"/>
          <w:szCs w:val="22"/>
        </w:rPr>
        <w:t>Watershed</w:t>
      </w:r>
      <w:r w:rsidR="00B378C6" w:rsidRPr="00482262">
        <w:rPr>
          <w:rFonts w:ascii="Arial" w:eastAsiaTheme="minorHAnsi" w:hAnsi="Arial"/>
          <w:bCs/>
          <w:color w:val="auto"/>
          <w:spacing w:val="0"/>
          <w:sz w:val="22"/>
          <w:szCs w:val="22"/>
        </w:rPr>
        <w:t xml:space="preserve">) zoning district regulations. A winery (as defined in the Napa County Code Section 18.08.640) and uses in </w:t>
      </w:r>
      <w:r w:rsidR="00B378C6" w:rsidRPr="00482262">
        <w:rPr>
          <w:rFonts w:ascii="Arial" w:eastAsiaTheme="minorHAnsi" w:hAnsi="Arial"/>
          <w:bCs/>
          <w:color w:val="auto"/>
          <w:spacing w:val="0"/>
          <w:sz w:val="22"/>
          <w:szCs w:val="22"/>
        </w:rPr>
        <w:lastRenderedPageBreak/>
        <w:t>connection with a winery (refer t</w:t>
      </w:r>
      <w:r w:rsidR="00246062">
        <w:rPr>
          <w:rFonts w:ascii="Arial" w:eastAsiaTheme="minorHAnsi" w:hAnsi="Arial"/>
          <w:bCs/>
          <w:color w:val="auto"/>
          <w:spacing w:val="0"/>
          <w:sz w:val="22"/>
          <w:szCs w:val="22"/>
        </w:rPr>
        <w:t>o Napa County Code Section 18.20</w:t>
      </w:r>
      <w:r w:rsidR="00B378C6" w:rsidRPr="00482262">
        <w:rPr>
          <w:rFonts w:ascii="Arial" w:eastAsiaTheme="minorHAnsi" w:hAnsi="Arial"/>
          <w:bCs/>
          <w:color w:val="auto"/>
          <w:spacing w:val="0"/>
          <w:sz w:val="22"/>
          <w:szCs w:val="22"/>
        </w:rPr>
        <w:t>.030) are permitted in the A</w:t>
      </w:r>
      <w:r w:rsidR="00246062">
        <w:rPr>
          <w:rFonts w:ascii="Arial" w:eastAsiaTheme="minorHAnsi" w:hAnsi="Arial"/>
          <w:bCs/>
          <w:color w:val="auto"/>
          <w:spacing w:val="0"/>
          <w:sz w:val="22"/>
          <w:szCs w:val="22"/>
        </w:rPr>
        <w:t>W</w:t>
      </w:r>
      <w:r w:rsidR="00B378C6" w:rsidRPr="00482262">
        <w:rPr>
          <w:rFonts w:ascii="Arial" w:eastAsiaTheme="minorHAnsi" w:hAnsi="Arial"/>
          <w:bCs/>
          <w:color w:val="auto"/>
          <w:spacing w:val="0"/>
          <w:sz w:val="22"/>
          <w:szCs w:val="22"/>
        </w:rPr>
        <w:t xml:space="preserve"> District with an approved use permit. The project, as conditioned, complies with the Napa County Winery Definition Ordinance (WDO) and all other requirements of the Zoning Code as applicable.</w:t>
      </w:r>
    </w:p>
    <w:p w:rsidR="00E85C0D" w:rsidRPr="00482262" w:rsidRDefault="00E85C0D" w:rsidP="00482262">
      <w:pPr>
        <w:autoSpaceDE w:val="0"/>
        <w:autoSpaceDN w:val="0"/>
        <w:adjustRightInd w:val="0"/>
        <w:jc w:val="both"/>
        <w:rPr>
          <w:rFonts w:ascii="Arial" w:eastAsiaTheme="minorHAnsi" w:hAnsi="Arial"/>
          <w:color w:val="auto"/>
          <w:spacing w:val="0"/>
          <w:sz w:val="22"/>
          <w:szCs w:val="22"/>
        </w:rPr>
      </w:pPr>
    </w:p>
    <w:p w:rsidR="00E85C0D" w:rsidRPr="00482262" w:rsidRDefault="00E85C0D" w:rsidP="00482262">
      <w:pPr>
        <w:numPr>
          <w:ilvl w:val="0"/>
          <w:numId w:val="5"/>
        </w:numPr>
        <w:tabs>
          <w:tab w:val="left" w:pos="0"/>
        </w:tabs>
        <w:autoSpaceDE w:val="0"/>
        <w:autoSpaceDN w:val="0"/>
        <w:adjustRightInd w:val="0"/>
        <w:spacing w:after="200" w:line="276" w:lineRule="auto"/>
        <w:contextualSpacing/>
        <w:jc w:val="both"/>
        <w:rPr>
          <w:rFonts w:ascii="Arial" w:eastAsiaTheme="minorHAnsi" w:hAnsi="Arial"/>
          <w:color w:val="auto"/>
          <w:spacing w:val="0"/>
          <w:sz w:val="22"/>
          <w:szCs w:val="22"/>
        </w:rPr>
      </w:pPr>
      <w:r w:rsidRPr="00482262">
        <w:rPr>
          <w:rFonts w:ascii="Arial" w:eastAsiaTheme="minorHAnsi" w:hAnsi="Arial"/>
          <w:color w:val="auto"/>
          <w:spacing w:val="0"/>
          <w:sz w:val="22"/>
          <w:szCs w:val="22"/>
        </w:rPr>
        <w:t>The procedural requirements for a Use Permit set forth in Chapter 18.124 of the Napa</w:t>
      </w:r>
    </w:p>
    <w:p w:rsidR="00E85C0D" w:rsidRPr="00482262" w:rsidRDefault="00E85C0D" w:rsidP="00482262">
      <w:pPr>
        <w:autoSpaceDE w:val="0"/>
        <w:autoSpaceDN w:val="0"/>
        <w:adjustRightInd w:val="0"/>
        <w:ind w:firstLine="450"/>
        <w:jc w:val="both"/>
        <w:rPr>
          <w:rFonts w:ascii="Arial" w:eastAsiaTheme="minorHAnsi" w:hAnsi="Arial"/>
          <w:color w:val="auto"/>
          <w:spacing w:val="0"/>
          <w:sz w:val="22"/>
          <w:szCs w:val="22"/>
        </w:rPr>
      </w:pPr>
      <w:r w:rsidRPr="00482262">
        <w:rPr>
          <w:rFonts w:ascii="Arial" w:eastAsiaTheme="minorHAnsi" w:hAnsi="Arial"/>
          <w:color w:val="auto"/>
          <w:spacing w:val="0"/>
          <w:sz w:val="22"/>
          <w:szCs w:val="22"/>
        </w:rPr>
        <w:t>County Code (zoning regulations) have been met.</w:t>
      </w:r>
    </w:p>
    <w:p w:rsidR="00E85C0D" w:rsidRPr="00482262" w:rsidRDefault="00E85C0D" w:rsidP="00482262">
      <w:pPr>
        <w:autoSpaceDE w:val="0"/>
        <w:autoSpaceDN w:val="0"/>
        <w:adjustRightInd w:val="0"/>
        <w:jc w:val="both"/>
        <w:rPr>
          <w:rFonts w:ascii="Arial" w:eastAsiaTheme="minorHAnsi" w:hAnsi="Arial"/>
          <w:color w:val="auto"/>
          <w:spacing w:val="0"/>
          <w:sz w:val="22"/>
          <w:szCs w:val="22"/>
        </w:rPr>
      </w:pPr>
    </w:p>
    <w:p w:rsidR="00E85C0D" w:rsidRPr="00482262" w:rsidRDefault="00E85C0D" w:rsidP="00482262">
      <w:pPr>
        <w:autoSpaceDE w:val="0"/>
        <w:autoSpaceDN w:val="0"/>
        <w:adjustRightInd w:val="0"/>
        <w:ind w:left="450"/>
        <w:jc w:val="both"/>
        <w:rPr>
          <w:rFonts w:ascii="Arial" w:eastAsiaTheme="minorHAnsi" w:hAnsi="Arial"/>
          <w:color w:val="auto"/>
          <w:spacing w:val="0"/>
          <w:sz w:val="22"/>
          <w:szCs w:val="22"/>
        </w:rPr>
      </w:pPr>
      <w:r w:rsidRPr="00482262">
        <w:rPr>
          <w:rFonts w:ascii="Arial" w:eastAsiaTheme="minorHAnsi" w:hAnsi="Arial"/>
          <w:b/>
          <w:bCs/>
          <w:color w:val="auto"/>
          <w:spacing w:val="0"/>
          <w:sz w:val="22"/>
          <w:szCs w:val="22"/>
        </w:rPr>
        <w:t xml:space="preserve">Analysis: </w:t>
      </w:r>
      <w:r w:rsidR="00B378C6" w:rsidRPr="00482262">
        <w:rPr>
          <w:rFonts w:ascii="Arial" w:eastAsiaTheme="minorHAnsi" w:hAnsi="Arial"/>
          <w:bCs/>
          <w:color w:val="auto"/>
          <w:spacing w:val="0"/>
          <w:sz w:val="22"/>
          <w:szCs w:val="22"/>
        </w:rPr>
        <w:t xml:space="preserve">The use permit application has been appropriately filed and notice and public hearing requirements have been met. The hearing notice was posted and published in the Napa Valley Register on </w:t>
      </w:r>
      <w:r w:rsidR="00246062">
        <w:rPr>
          <w:rFonts w:ascii="Arial" w:eastAsiaTheme="minorHAnsi" w:hAnsi="Arial"/>
          <w:bCs/>
          <w:color w:val="auto"/>
          <w:spacing w:val="0"/>
          <w:sz w:val="22"/>
          <w:szCs w:val="22"/>
        </w:rPr>
        <w:t>July</w:t>
      </w:r>
      <w:r w:rsidR="00B378C6" w:rsidRPr="00482262">
        <w:rPr>
          <w:rFonts w:ascii="Arial" w:eastAsiaTheme="minorHAnsi" w:hAnsi="Arial"/>
          <w:bCs/>
          <w:color w:val="auto"/>
          <w:spacing w:val="0"/>
          <w:sz w:val="22"/>
          <w:szCs w:val="22"/>
        </w:rPr>
        <w:t xml:space="preserve"> </w:t>
      </w:r>
      <w:r w:rsidR="00246062">
        <w:rPr>
          <w:rFonts w:ascii="Arial" w:eastAsiaTheme="minorHAnsi" w:hAnsi="Arial"/>
          <w:bCs/>
          <w:color w:val="auto"/>
          <w:spacing w:val="0"/>
          <w:sz w:val="22"/>
          <w:szCs w:val="22"/>
        </w:rPr>
        <w:t>12</w:t>
      </w:r>
      <w:r w:rsidR="00B378C6" w:rsidRPr="00482262">
        <w:rPr>
          <w:rFonts w:ascii="Arial" w:eastAsiaTheme="minorHAnsi" w:hAnsi="Arial"/>
          <w:bCs/>
          <w:color w:val="auto"/>
          <w:spacing w:val="0"/>
          <w:sz w:val="22"/>
          <w:szCs w:val="22"/>
        </w:rPr>
        <w:t>, 2018. Copies were forwarded to property owners within 1,000 feet of the subject parcel, as well as other interested parties.</w:t>
      </w:r>
      <w:r w:rsidR="00B0067E">
        <w:rPr>
          <w:rFonts w:ascii="Arial" w:eastAsiaTheme="minorHAnsi" w:hAnsi="Arial"/>
          <w:bCs/>
          <w:color w:val="auto"/>
          <w:spacing w:val="0"/>
          <w:sz w:val="22"/>
          <w:szCs w:val="22"/>
        </w:rPr>
        <w:t xml:space="preserve"> The CEQA comment process runs from July 12, 2018 to July 31, 2018.</w:t>
      </w:r>
    </w:p>
    <w:p w:rsidR="00E85C0D" w:rsidRPr="00482262" w:rsidRDefault="00E85C0D" w:rsidP="00482262">
      <w:pPr>
        <w:autoSpaceDE w:val="0"/>
        <w:autoSpaceDN w:val="0"/>
        <w:adjustRightInd w:val="0"/>
        <w:jc w:val="both"/>
        <w:rPr>
          <w:rFonts w:ascii="Arial" w:eastAsiaTheme="minorHAnsi" w:hAnsi="Arial"/>
          <w:color w:val="auto"/>
          <w:spacing w:val="0"/>
          <w:sz w:val="22"/>
          <w:szCs w:val="22"/>
        </w:rPr>
      </w:pPr>
    </w:p>
    <w:p w:rsidR="00E85C0D" w:rsidRPr="00E85C0D" w:rsidRDefault="00E85C0D" w:rsidP="00482262">
      <w:pPr>
        <w:numPr>
          <w:ilvl w:val="0"/>
          <w:numId w:val="5"/>
        </w:numPr>
        <w:autoSpaceDE w:val="0"/>
        <w:autoSpaceDN w:val="0"/>
        <w:adjustRightInd w:val="0"/>
        <w:spacing w:after="200" w:line="276" w:lineRule="auto"/>
        <w:contextualSpacing/>
        <w:jc w:val="both"/>
        <w:rPr>
          <w:rFonts w:ascii="Arial" w:eastAsiaTheme="minorHAnsi" w:hAnsi="Arial"/>
          <w:color w:val="auto"/>
          <w:spacing w:val="0"/>
          <w:sz w:val="22"/>
          <w:szCs w:val="22"/>
        </w:rPr>
      </w:pPr>
      <w:r w:rsidRPr="00E85C0D">
        <w:rPr>
          <w:rFonts w:ascii="Arial" w:eastAsiaTheme="minorHAnsi" w:hAnsi="Arial"/>
          <w:color w:val="auto"/>
          <w:spacing w:val="0"/>
          <w:sz w:val="22"/>
          <w:szCs w:val="22"/>
        </w:rPr>
        <w:t>The grant</w:t>
      </w:r>
      <w:r w:rsidR="00246062">
        <w:rPr>
          <w:rFonts w:ascii="Arial" w:eastAsiaTheme="minorHAnsi" w:hAnsi="Arial"/>
          <w:color w:val="auto"/>
          <w:spacing w:val="0"/>
          <w:sz w:val="22"/>
          <w:szCs w:val="22"/>
        </w:rPr>
        <w:t>ing</w:t>
      </w:r>
      <w:r w:rsidRPr="00E85C0D">
        <w:rPr>
          <w:rFonts w:ascii="Arial" w:eastAsiaTheme="minorHAnsi" w:hAnsi="Arial"/>
          <w:color w:val="auto"/>
          <w:spacing w:val="0"/>
          <w:sz w:val="22"/>
          <w:szCs w:val="22"/>
        </w:rPr>
        <w:t xml:space="preserve"> of the Use Permit, as conditioned, will not adversely affect the public health, safety or welfare of the County of Napa.</w:t>
      </w:r>
    </w:p>
    <w:p w:rsidR="00E85C0D" w:rsidRPr="00E85C0D" w:rsidRDefault="00E85C0D" w:rsidP="00482262">
      <w:pPr>
        <w:autoSpaceDE w:val="0"/>
        <w:autoSpaceDN w:val="0"/>
        <w:adjustRightInd w:val="0"/>
        <w:jc w:val="both"/>
        <w:rPr>
          <w:rFonts w:ascii="Arial" w:eastAsiaTheme="minorHAnsi" w:hAnsi="Arial"/>
          <w:b/>
          <w:bCs/>
          <w:color w:val="auto"/>
          <w:spacing w:val="0"/>
          <w:sz w:val="22"/>
          <w:szCs w:val="22"/>
        </w:rPr>
      </w:pPr>
    </w:p>
    <w:p w:rsidR="00E85C0D" w:rsidRPr="00E85C0D" w:rsidRDefault="00E85C0D" w:rsidP="00482262">
      <w:pPr>
        <w:autoSpaceDE w:val="0"/>
        <w:autoSpaceDN w:val="0"/>
        <w:adjustRightInd w:val="0"/>
        <w:ind w:left="450"/>
        <w:jc w:val="both"/>
        <w:rPr>
          <w:rFonts w:ascii="Arial" w:eastAsiaTheme="minorHAnsi" w:hAnsi="Arial"/>
          <w:color w:val="auto"/>
          <w:spacing w:val="0"/>
          <w:sz w:val="22"/>
          <w:szCs w:val="22"/>
        </w:rPr>
      </w:pPr>
      <w:r w:rsidRPr="00E85C0D">
        <w:rPr>
          <w:rFonts w:ascii="Arial" w:eastAsiaTheme="minorHAnsi" w:hAnsi="Arial"/>
          <w:b/>
          <w:bCs/>
          <w:color w:val="auto"/>
          <w:spacing w:val="0"/>
          <w:sz w:val="22"/>
          <w:szCs w:val="22"/>
        </w:rPr>
        <w:t xml:space="preserve">Analysis: </w:t>
      </w:r>
      <w:r w:rsidRPr="00E85C0D">
        <w:rPr>
          <w:rFonts w:ascii="Arial" w:eastAsiaTheme="minorHAnsi" w:hAnsi="Arial"/>
          <w:color w:val="auto"/>
          <w:spacing w:val="0"/>
          <w:sz w:val="22"/>
          <w:szCs w:val="22"/>
        </w:rPr>
        <w:t>Granting the Use Permit as proposed and conditioned will not affect the health, safety or welfare of the County. Various County divisions and departments have reviewed the project and commented regarding waste disposal and water demands. Conditions are recommended which will incorporate these comments into the project to assure the protection of the public health, safety, and welfare.</w:t>
      </w:r>
    </w:p>
    <w:p w:rsidR="00E85C0D" w:rsidRPr="00E85C0D" w:rsidRDefault="00E85C0D" w:rsidP="00482262">
      <w:pPr>
        <w:autoSpaceDE w:val="0"/>
        <w:autoSpaceDN w:val="0"/>
        <w:adjustRightInd w:val="0"/>
        <w:jc w:val="both"/>
        <w:rPr>
          <w:rFonts w:ascii="Arial" w:eastAsiaTheme="minorHAnsi" w:hAnsi="Arial"/>
          <w:color w:val="auto"/>
          <w:spacing w:val="0"/>
          <w:sz w:val="22"/>
          <w:szCs w:val="22"/>
        </w:rPr>
      </w:pPr>
    </w:p>
    <w:p w:rsidR="00E85C0D" w:rsidRPr="00E85C0D" w:rsidRDefault="00E85C0D" w:rsidP="00482262">
      <w:pPr>
        <w:numPr>
          <w:ilvl w:val="0"/>
          <w:numId w:val="5"/>
        </w:numPr>
        <w:autoSpaceDE w:val="0"/>
        <w:autoSpaceDN w:val="0"/>
        <w:adjustRightInd w:val="0"/>
        <w:spacing w:after="200" w:line="276" w:lineRule="auto"/>
        <w:contextualSpacing/>
        <w:jc w:val="both"/>
        <w:rPr>
          <w:rFonts w:ascii="Arial" w:eastAsiaTheme="minorHAnsi" w:hAnsi="Arial"/>
          <w:color w:val="auto"/>
          <w:spacing w:val="0"/>
          <w:sz w:val="22"/>
          <w:szCs w:val="22"/>
        </w:rPr>
      </w:pPr>
      <w:r w:rsidRPr="00E85C0D">
        <w:rPr>
          <w:rFonts w:ascii="Arial" w:eastAsiaTheme="minorHAnsi" w:hAnsi="Arial"/>
          <w:color w:val="auto"/>
          <w:spacing w:val="0"/>
          <w:sz w:val="22"/>
          <w:szCs w:val="22"/>
        </w:rPr>
        <w:t>The proposed use complies with applicable provisions of the Napa County Code and is consistent with the policies and standards of the Napa County General Plan.</w:t>
      </w:r>
    </w:p>
    <w:p w:rsidR="00E85C0D" w:rsidRPr="00E85C0D" w:rsidRDefault="00E85C0D" w:rsidP="00482262">
      <w:pPr>
        <w:autoSpaceDE w:val="0"/>
        <w:autoSpaceDN w:val="0"/>
        <w:adjustRightInd w:val="0"/>
        <w:ind w:left="450"/>
        <w:contextualSpacing/>
        <w:jc w:val="both"/>
        <w:rPr>
          <w:rFonts w:ascii="Arial" w:eastAsiaTheme="minorHAnsi" w:hAnsi="Arial"/>
          <w:color w:val="auto"/>
          <w:spacing w:val="0"/>
          <w:sz w:val="22"/>
          <w:szCs w:val="22"/>
        </w:rPr>
      </w:pPr>
    </w:p>
    <w:p w:rsidR="00E85C0D" w:rsidRPr="00E85C0D" w:rsidRDefault="00E85C0D" w:rsidP="00482262">
      <w:pPr>
        <w:spacing w:after="200" w:line="276" w:lineRule="auto"/>
        <w:ind w:left="450"/>
        <w:contextualSpacing/>
        <w:jc w:val="both"/>
        <w:rPr>
          <w:rFonts w:ascii="Arial" w:eastAsiaTheme="minorHAnsi" w:hAnsi="Arial"/>
          <w:b/>
          <w:bCs/>
          <w:color w:val="auto"/>
          <w:spacing w:val="0"/>
          <w:sz w:val="22"/>
          <w:szCs w:val="22"/>
          <w:u w:val="single"/>
        </w:rPr>
      </w:pPr>
      <w:r w:rsidRPr="00E85C0D">
        <w:rPr>
          <w:rFonts w:ascii="Arial" w:eastAsiaTheme="minorHAnsi" w:hAnsi="Arial"/>
          <w:b/>
          <w:bCs/>
          <w:color w:val="auto"/>
          <w:spacing w:val="0"/>
          <w:sz w:val="22"/>
          <w:szCs w:val="22"/>
          <w:u w:val="single"/>
        </w:rPr>
        <w:t>Analysis: Compliance with the Zoning Ordinance</w:t>
      </w:r>
    </w:p>
    <w:p w:rsidR="00E85C0D" w:rsidRPr="00E85C0D" w:rsidRDefault="00E85C0D" w:rsidP="00482262">
      <w:pPr>
        <w:spacing w:after="200" w:line="276" w:lineRule="auto"/>
        <w:ind w:left="450"/>
        <w:contextualSpacing/>
        <w:jc w:val="both"/>
        <w:rPr>
          <w:rFonts w:ascii="Arial" w:eastAsiaTheme="minorHAnsi" w:hAnsi="Arial"/>
          <w:b/>
          <w:bCs/>
          <w:color w:val="auto"/>
          <w:spacing w:val="0"/>
          <w:sz w:val="22"/>
          <w:szCs w:val="22"/>
          <w:u w:val="single"/>
        </w:rPr>
      </w:pPr>
    </w:p>
    <w:p w:rsidR="00E85C0D" w:rsidRPr="00E85C0D" w:rsidRDefault="00E85C0D" w:rsidP="00482262">
      <w:pPr>
        <w:spacing w:after="200" w:line="276" w:lineRule="auto"/>
        <w:ind w:left="450"/>
        <w:contextualSpacing/>
        <w:jc w:val="both"/>
        <w:rPr>
          <w:rFonts w:ascii="Arial" w:eastAsiaTheme="minorHAnsi" w:hAnsi="Arial"/>
          <w:color w:val="auto"/>
          <w:spacing w:val="0"/>
          <w:sz w:val="22"/>
          <w:szCs w:val="22"/>
        </w:rPr>
      </w:pPr>
      <w:r w:rsidRPr="00E85C0D">
        <w:rPr>
          <w:rFonts w:ascii="Arial" w:eastAsiaTheme="minorHAnsi" w:hAnsi="Arial"/>
          <w:color w:val="auto"/>
          <w:spacing w:val="0"/>
          <w:sz w:val="22"/>
          <w:szCs w:val="22"/>
        </w:rPr>
        <w:t>The proposed use is consistent with the regulations of the A</w:t>
      </w:r>
      <w:r w:rsidR="00246062">
        <w:rPr>
          <w:rFonts w:ascii="Arial" w:eastAsiaTheme="minorHAnsi" w:hAnsi="Arial"/>
          <w:color w:val="auto"/>
          <w:spacing w:val="0"/>
          <w:sz w:val="22"/>
          <w:szCs w:val="22"/>
        </w:rPr>
        <w:t>W</w:t>
      </w:r>
      <w:r w:rsidRPr="00E85C0D">
        <w:rPr>
          <w:rFonts w:ascii="Arial" w:eastAsiaTheme="minorHAnsi" w:hAnsi="Arial"/>
          <w:color w:val="auto"/>
          <w:spacing w:val="0"/>
          <w:sz w:val="22"/>
          <w:szCs w:val="22"/>
        </w:rPr>
        <w:t xml:space="preserve"> District in which the property is located. Wineries are condit</w:t>
      </w:r>
      <w:r w:rsidR="00246062">
        <w:rPr>
          <w:rFonts w:ascii="Arial" w:eastAsiaTheme="minorHAnsi" w:hAnsi="Arial"/>
          <w:color w:val="auto"/>
          <w:spacing w:val="0"/>
          <w:sz w:val="22"/>
          <w:szCs w:val="22"/>
        </w:rPr>
        <w:t>ionally permitted uses in the AW</w:t>
      </w:r>
      <w:r w:rsidRPr="00E85C0D">
        <w:rPr>
          <w:rFonts w:ascii="Arial" w:eastAsiaTheme="minorHAnsi" w:hAnsi="Arial"/>
          <w:color w:val="auto"/>
          <w:spacing w:val="0"/>
          <w:sz w:val="22"/>
          <w:szCs w:val="22"/>
        </w:rPr>
        <w:t xml:space="preserve"> Distric</w:t>
      </w:r>
      <w:r w:rsidR="00F065CE">
        <w:rPr>
          <w:rFonts w:ascii="Arial" w:eastAsiaTheme="minorHAnsi" w:hAnsi="Arial"/>
          <w:color w:val="auto"/>
          <w:spacing w:val="0"/>
          <w:sz w:val="22"/>
          <w:szCs w:val="22"/>
        </w:rPr>
        <w:t>t (Napa County Code Section 18.20</w:t>
      </w:r>
      <w:r w:rsidRPr="00E85C0D">
        <w:rPr>
          <w:rFonts w:ascii="Arial" w:eastAsiaTheme="minorHAnsi" w:hAnsi="Arial"/>
          <w:color w:val="auto"/>
          <w:spacing w:val="0"/>
          <w:sz w:val="22"/>
          <w:szCs w:val="22"/>
        </w:rPr>
        <w:t>.030), and the existing site improvements currently comply with the development regulations of the A</w:t>
      </w:r>
      <w:r w:rsidR="00246062">
        <w:rPr>
          <w:rFonts w:ascii="Arial" w:eastAsiaTheme="minorHAnsi" w:hAnsi="Arial"/>
          <w:color w:val="auto"/>
          <w:spacing w:val="0"/>
          <w:sz w:val="22"/>
          <w:szCs w:val="22"/>
        </w:rPr>
        <w:t>W</w:t>
      </w:r>
      <w:r w:rsidRPr="00E85C0D">
        <w:rPr>
          <w:rFonts w:ascii="Arial" w:eastAsiaTheme="minorHAnsi" w:hAnsi="Arial"/>
          <w:color w:val="auto"/>
          <w:spacing w:val="0"/>
          <w:sz w:val="22"/>
          <w:szCs w:val="22"/>
        </w:rPr>
        <w:t xml:space="preserve"> District, including the minimum 600-foot road setback for winery buildings, 35-foot maximu</w:t>
      </w:r>
      <w:r w:rsidR="00105EBE">
        <w:rPr>
          <w:rFonts w:ascii="Arial" w:eastAsiaTheme="minorHAnsi" w:hAnsi="Arial"/>
          <w:color w:val="auto"/>
          <w:spacing w:val="0"/>
          <w:sz w:val="22"/>
          <w:szCs w:val="22"/>
        </w:rPr>
        <w:t>m building height, and maximum 6.4</w:t>
      </w:r>
      <w:r w:rsidRPr="00E85C0D">
        <w:rPr>
          <w:rFonts w:ascii="Arial" w:eastAsiaTheme="minorHAnsi" w:hAnsi="Arial"/>
          <w:color w:val="auto"/>
          <w:spacing w:val="0"/>
          <w:sz w:val="22"/>
          <w:szCs w:val="22"/>
        </w:rPr>
        <w:t xml:space="preserve"> percent lot coverage standards as prescribed in County Code Sections 18.104.010, 18.104.220 and 18.104.230.</w:t>
      </w:r>
      <w:r w:rsidR="00105EBE" w:rsidRPr="00105EBE">
        <w:t xml:space="preserve"> </w:t>
      </w:r>
      <w:r w:rsidR="00105EBE" w:rsidRPr="00105EBE">
        <w:rPr>
          <w:rFonts w:ascii="Arial" w:eastAsiaTheme="minorHAnsi" w:hAnsi="Arial"/>
          <w:color w:val="auto"/>
          <w:spacing w:val="0"/>
          <w:sz w:val="22"/>
          <w:szCs w:val="22"/>
        </w:rPr>
        <w:t>The project, as conditioned, complies with the Napa County Winery Definition Ordinance (WDO) and all other requirements of the Zoning Code as applicable.</w:t>
      </w:r>
    </w:p>
    <w:p w:rsidR="00E85C0D" w:rsidRPr="00E85C0D" w:rsidRDefault="00E85C0D" w:rsidP="00482262">
      <w:pPr>
        <w:spacing w:after="200" w:line="276" w:lineRule="auto"/>
        <w:ind w:left="450"/>
        <w:contextualSpacing/>
        <w:jc w:val="both"/>
        <w:rPr>
          <w:rFonts w:ascii="Arial" w:eastAsiaTheme="minorHAnsi" w:hAnsi="Arial"/>
          <w:color w:val="auto"/>
          <w:spacing w:val="0"/>
          <w:sz w:val="22"/>
          <w:szCs w:val="22"/>
        </w:rPr>
      </w:pPr>
    </w:p>
    <w:p w:rsidR="00E85C0D" w:rsidRPr="00E85C0D" w:rsidRDefault="00E85C0D" w:rsidP="00482262">
      <w:pPr>
        <w:spacing w:after="200" w:line="276" w:lineRule="auto"/>
        <w:ind w:left="450"/>
        <w:contextualSpacing/>
        <w:jc w:val="both"/>
        <w:rPr>
          <w:rFonts w:ascii="Arial" w:eastAsiaTheme="minorHAnsi" w:hAnsi="Arial"/>
          <w:b/>
          <w:bCs/>
          <w:color w:val="auto"/>
          <w:spacing w:val="0"/>
          <w:sz w:val="22"/>
          <w:szCs w:val="22"/>
          <w:u w:val="single"/>
        </w:rPr>
      </w:pPr>
      <w:r w:rsidRPr="00E85C0D">
        <w:rPr>
          <w:rFonts w:ascii="Arial" w:eastAsiaTheme="minorHAnsi" w:hAnsi="Arial"/>
          <w:b/>
          <w:bCs/>
          <w:color w:val="auto"/>
          <w:spacing w:val="0"/>
          <w:sz w:val="22"/>
          <w:szCs w:val="22"/>
          <w:u w:val="single"/>
        </w:rPr>
        <w:t>Analysis: Consistency with the General Plan</w:t>
      </w:r>
    </w:p>
    <w:p w:rsidR="00E85C0D" w:rsidRPr="00E85C0D" w:rsidRDefault="00E85C0D" w:rsidP="00482262">
      <w:pPr>
        <w:spacing w:after="200" w:line="276" w:lineRule="auto"/>
        <w:ind w:left="450"/>
        <w:contextualSpacing/>
        <w:jc w:val="both"/>
        <w:rPr>
          <w:rFonts w:ascii="Arial" w:eastAsiaTheme="minorHAnsi" w:hAnsi="Arial"/>
          <w:b/>
          <w:bCs/>
          <w:color w:val="auto"/>
          <w:spacing w:val="0"/>
          <w:sz w:val="22"/>
          <w:szCs w:val="22"/>
          <w:u w:val="single"/>
        </w:rPr>
      </w:pPr>
    </w:p>
    <w:p w:rsidR="00E85C0D" w:rsidRDefault="00105EBE" w:rsidP="00482262">
      <w:pPr>
        <w:spacing w:after="200" w:line="276" w:lineRule="auto"/>
        <w:ind w:left="450"/>
        <w:contextualSpacing/>
        <w:jc w:val="both"/>
        <w:rPr>
          <w:rFonts w:ascii="Arial" w:eastAsiaTheme="minorHAnsi" w:hAnsi="Arial"/>
          <w:color w:val="auto"/>
          <w:spacing w:val="0"/>
          <w:sz w:val="22"/>
          <w:szCs w:val="22"/>
        </w:rPr>
      </w:pPr>
      <w:r w:rsidRPr="00105EBE">
        <w:rPr>
          <w:rFonts w:ascii="Arial" w:eastAsiaTheme="minorHAnsi" w:hAnsi="Arial"/>
          <w:color w:val="auto"/>
          <w:spacing w:val="0"/>
          <w:sz w:val="22"/>
          <w:szCs w:val="22"/>
        </w:rPr>
        <w:t>As proposed and as conditioned, the requested Use Permit is consistent with the overall goals and objectives of the General Plan (2008). The General Plan land use designation for the subject parcel is Agricultural Resource.</w:t>
      </w:r>
    </w:p>
    <w:p w:rsidR="00105EBE" w:rsidRPr="00E85C0D" w:rsidRDefault="00105EBE" w:rsidP="00482262">
      <w:pPr>
        <w:spacing w:after="200" w:line="276" w:lineRule="auto"/>
        <w:ind w:left="450"/>
        <w:contextualSpacing/>
        <w:jc w:val="both"/>
        <w:rPr>
          <w:rFonts w:ascii="Arial" w:eastAsiaTheme="minorHAnsi" w:hAnsi="Arial"/>
          <w:color w:val="auto"/>
          <w:spacing w:val="0"/>
          <w:sz w:val="22"/>
          <w:szCs w:val="22"/>
        </w:rPr>
      </w:pPr>
    </w:p>
    <w:p w:rsidR="00E85C0D" w:rsidRPr="00E85C0D" w:rsidRDefault="00E85C0D" w:rsidP="00482262">
      <w:pPr>
        <w:spacing w:after="200" w:line="276" w:lineRule="auto"/>
        <w:ind w:left="450"/>
        <w:contextualSpacing/>
        <w:jc w:val="both"/>
        <w:rPr>
          <w:rFonts w:ascii="Arial" w:eastAsiaTheme="minorHAnsi" w:hAnsi="Arial"/>
          <w:color w:val="auto"/>
          <w:spacing w:val="0"/>
          <w:sz w:val="22"/>
          <w:szCs w:val="22"/>
        </w:rPr>
      </w:pPr>
      <w:r w:rsidRPr="00E85C0D">
        <w:rPr>
          <w:rFonts w:ascii="Arial" w:eastAsiaTheme="minorHAnsi" w:hAnsi="Arial"/>
          <w:color w:val="auto"/>
          <w:spacing w:val="0"/>
          <w:sz w:val="22"/>
          <w:szCs w:val="22"/>
        </w:rPr>
        <w:t xml:space="preserve">General Plan Agricultural Preservation and Land Use Goal AG/LU-1 guides the County to “preserve existing agricultural land uses and plan for agriculture and related activities as the primary land uses in Napa County.” General Plan Goal AG/LU-3 states that the County </w:t>
      </w:r>
      <w:r w:rsidRPr="00E85C0D">
        <w:rPr>
          <w:rFonts w:ascii="Arial" w:eastAsiaTheme="minorHAnsi" w:hAnsi="Arial"/>
          <w:color w:val="auto"/>
          <w:spacing w:val="0"/>
          <w:sz w:val="22"/>
          <w:szCs w:val="22"/>
        </w:rPr>
        <w:lastRenderedPageBreak/>
        <w:t>should “support the economic viability of agriculture, including grape growing, winemaking, other types of agriculture, and supporting industries to ensure the preservation of agricultural lands.” Goal AG/LU-3 and Policy AG/LU-2 recognize wineries as agricultural uses.</w:t>
      </w:r>
    </w:p>
    <w:p w:rsidR="00105EBE" w:rsidRDefault="00105EBE" w:rsidP="00482262">
      <w:pPr>
        <w:spacing w:after="200" w:line="276" w:lineRule="auto"/>
        <w:ind w:left="450"/>
        <w:contextualSpacing/>
        <w:jc w:val="both"/>
        <w:rPr>
          <w:rFonts w:ascii="Arial" w:eastAsiaTheme="minorHAnsi" w:hAnsi="Arial"/>
          <w:color w:val="auto"/>
          <w:spacing w:val="0"/>
          <w:sz w:val="22"/>
          <w:szCs w:val="22"/>
        </w:rPr>
      </w:pPr>
    </w:p>
    <w:p w:rsidR="00E85C0D" w:rsidRPr="00E85C0D" w:rsidRDefault="00105EBE" w:rsidP="00482262">
      <w:pPr>
        <w:spacing w:after="200" w:line="276" w:lineRule="auto"/>
        <w:ind w:left="450"/>
        <w:contextualSpacing/>
        <w:jc w:val="both"/>
        <w:rPr>
          <w:rFonts w:ascii="Arial" w:eastAsiaTheme="minorHAnsi" w:hAnsi="Arial"/>
          <w:color w:val="auto"/>
          <w:spacing w:val="0"/>
          <w:sz w:val="22"/>
          <w:szCs w:val="22"/>
        </w:rPr>
      </w:pPr>
      <w:r w:rsidRPr="00105EBE">
        <w:rPr>
          <w:rFonts w:ascii="Arial" w:eastAsiaTheme="minorHAnsi" w:hAnsi="Arial"/>
          <w:color w:val="auto"/>
          <w:spacing w:val="0"/>
          <w:sz w:val="22"/>
          <w:szCs w:val="22"/>
        </w:rPr>
        <w:t>The proposed use of the property for fermenting and processing of grape juice into wine supports the economic viability of agriculture within the County, consistent with Goal AG/LU-3 and Policy AG/LU-4 (“The County will reserve agricultural lands for agricultural use including land used for grazing and watershed/open space…”). By authorizing a winery at the project site the requested Use Permit supports the economic viability of both the vineyard use on the property, consistent with Economic Development Goal E-1 and Policy E-1.</w:t>
      </w:r>
    </w:p>
    <w:p w:rsidR="00E85C0D" w:rsidRPr="00E85C0D" w:rsidRDefault="00E85C0D" w:rsidP="00482262">
      <w:pPr>
        <w:spacing w:after="200" w:line="276" w:lineRule="auto"/>
        <w:ind w:left="450"/>
        <w:contextualSpacing/>
        <w:jc w:val="both"/>
        <w:rPr>
          <w:rFonts w:ascii="Arial" w:eastAsiaTheme="minorHAnsi" w:hAnsi="Arial"/>
          <w:color w:val="auto"/>
          <w:spacing w:val="0"/>
          <w:sz w:val="22"/>
          <w:szCs w:val="22"/>
        </w:rPr>
      </w:pPr>
    </w:p>
    <w:p w:rsidR="00E85C0D" w:rsidRPr="00E85C0D" w:rsidRDefault="00E85C0D" w:rsidP="00482262">
      <w:pPr>
        <w:spacing w:after="200" w:line="276" w:lineRule="auto"/>
        <w:ind w:left="450"/>
        <w:contextualSpacing/>
        <w:jc w:val="both"/>
        <w:rPr>
          <w:rFonts w:ascii="Arial" w:eastAsiaTheme="minorHAnsi" w:hAnsi="Arial"/>
          <w:color w:val="auto"/>
          <w:spacing w:val="0"/>
          <w:sz w:val="22"/>
          <w:szCs w:val="22"/>
        </w:rPr>
      </w:pPr>
      <w:r w:rsidRPr="00E85C0D">
        <w:rPr>
          <w:rFonts w:ascii="Arial" w:eastAsiaTheme="minorHAnsi" w:hAnsi="Arial"/>
          <w:color w:val="auto"/>
          <w:spacing w:val="0"/>
          <w:sz w:val="22"/>
          <w:szCs w:val="22"/>
        </w:rPr>
        <w:t>The “Right to Farm” is recognized throughout the General Plan and is specifically called out in Policy AG/LU-15 and in the County Code. “Right to Farm” provisions ensure that agriculture remains the primary land use in Napa County and is not threatened by potentially competing uses or neighbor complaints. Napa County’s adopted General Plan reinforces the County’s long-standing commitment to agricultural preservation, urban centered growth, and resource conservation.</w:t>
      </w:r>
    </w:p>
    <w:p w:rsidR="00E85C0D" w:rsidRPr="00E85C0D" w:rsidRDefault="00E85C0D" w:rsidP="00E85C0D">
      <w:pPr>
        <w:spacing w:after="200" w:line="276" w:lineRule="auto"/>
        <w:ind w:left="450"/>
        <w:contextualSpacing/>
        <w:rPr>
          <w:rFonts w:ascii="Arial" w:eastAsiaTheme="minorHAnsi" w:hAnsi="Arial"/>
          <w:color w:val="auto"/>
          <w:spacing w:val="0"/>
          <w:sz w:val="22"/>
          <w:szCs w:val="22"/>
        </w:rPr>
      </w:pPr>
    </w:p>
    <w:p w:rsidR="00E85C0D" w:rsidRPr="00E85C0D" w:rsidRDefault="00E85C0D" w:rsidP="00482262">
      <w:pPr>
        <w:spacing w:after="200" w:line="276" w:lineRule="auto"/>
        <w:ind w:left="450"/>
        <w:contextualSpacing/>
        <w:jc w:val="both"/>
        <w:rPr>
          <w:rFonts w:ascii="Arial" w:eastAsiaTheme="minorHAnsi" w:hAnsi="Arial"/>
          <w:b/>
          <w:color w:val="auto"/>
          <w:spacing w:val="0"/>
          <w:sz w:val="22"/>
          <w:szCs w:val="22"/>
          <w:u w:val="single"/>
        </w:rPr>
      </w:pPr>
      <w:r w:rsidRPr="00E85C0D">
        <w:rPr>
          <w:rFonts w:ascii="Arial" w:eastAsiaTheme="minorHAnsi" w:hAnsi="Arial"/>
          <w:b/>
          <w:color w:val="auto"/>
          <w:spacing w:val="0"/>
          <w:sz w:val="22"/>
          <w:szCs w:val="22"/>
          <w:u w:val="single"/>
        </w:rPr>
        <w:t xml:space="preserve">Applicable Napa County General Plan </w:t>
      </w:r>
      <w:r w:rsidR="00DC2BEA">
        <w:rPr>
          <w:rFonts w:ascii="Arial" w:eastAsiaTheme="minorHAnsi" w:hAnsi="Arial"/>
          <w:b/>
          <w:color w:val="auto"/>
          <w:spacing w:val="0"/>
          <w:sz w:val="22"/>
          <w:szCs w:val="22"/>
          <w:u w:val="single"/>
        </w:rPr>
        <w:t>G</w:t>
      </w:r>
      <w:r w:rsidRPr="00E85C0D">
        <w:rPr>
          <w:rFonts w:ascii="Arial" w:eastAsiaTheme="minorHAnsi" w:hAnsi="Arial"/>
          <w:b/>
          <w:color w:val="auto"/>
          <w:spacing w:val="0"/>
          <w:sz w:val="22"/>
          <w:szCs w:val="22"/>
          <w:u w:val="single"/>
        </w:rPr>
        <w:t>oals an</w:t>
      </w:r>
      <w:r w:rsidR="00DC2BEA">
        <w:rPr>
          <w:rFonts w:ascii="Arial" w:eastAsiaTheme="minorHAnsi" w:hAnsi="Arial"/>
          <w:b/>
          <w:color w:val="auto"/>
          <w:spacing w:val="0"/>
          <w:sz w:val="22"/>
          <w:szCs w:val="22"/>
          <w:u w:val="single"/>
        </w:rPr>
        <w:t>d P</w:t>
      </w:r>
      <w:r w:rsidRPr="00E85C0D">
        <w:rPr>
          <w:rFonts w:ascii="Arial" w:eastAsiaTheme="minorHAnsi" w:hAnsi="Arial"/>
          <w:b/>
          <w:color w:val="auto"/>
          <w:spacing w:val="0"/>
          <w:sz w:val="22"/>
          <w:szCs w:val="22"/>
          <w:u w:val="single"/>
        </w:rPr>
        <w:t>olicies:</w:t>
      </w:r>
    </w:p>
    <w:p w:rsidR="00E85C0D" w:rsidRPr="00E85C0D" w:rsidRDefault="00E85C0D" w:rsidP="00482262">
      <w:pPr>
        <w:spacing w:after="200" w:line="276" w:lineRule="auto"/>
        <w:ind w:left="450"/>
        <w:contextualSpacing/>
        <w:jc w:val="both"/>
        <w:rPr>
          <w:rFonts w:ascii="Arial" w:eastAsiaTheme="minorHAnsi" w:hAnsi="Arial"/>
          <w:b/>
          <w:color w:val="auto"/>
          <w:spacing w:val="0"/>
          <w:sz w:val="22"/>
          <w:szCs w:val="22"/>
          <w:u w:val="single"/>
        </w:rPr>
      </w:pPr>
    </w:p>
    <w:p w:rsidR="00E85C0D" w:rsidRPr="00E85C0D" w:rsidRDefault="00E85C0D" w:rsidP="00482262">
      <w:pPr>
        <w:spacing w:after="200" w:line="276" w:lineRule="auto"/>
        <w:ind w:left="450"/>
        <w:contextualSpacing/>
        <w:jc w:val="both"/>
        <w:rPr>
          <w:rFonts w:ascii="Arial" w:eastAsiaTheme="minorHAnsi" w:hAnsi="Arial"/>
          <w:color w:val="auto"/>
          <w:spacing w:val="0"/>
          <w:sz w:val="22"/>
          <w:szCs w:val="22"/>
        </w:rPr>
      </w:pPr>
      <w:r w:rsidRPr="00E85C0D">
        <w:rPr>
          <w:rFonts w:ascii="Arial" w:eastAsiaTheme="minorHAnsi" w:hAnsi="Arial"/>
          <w:color w:val="auto"/>
          <w:spacing w:val="0"/>
          <w:sz w:val="22"/>
          <w:szCs w:val="22"/>
          <w:u w:val="single"/>
        </w:rPr>
        <w:t>Goal AG/LU-1:</w:t>
      </w:r>
      <w:r w:rsidRPr="00E85C0D">
        <w:rPr>
          <w:rFonts w:ascii="Arial" w:eastAsiaTheme="minorHAnsi" w:hAnsi="Arial"/>
          <w:color w:val="auto"/>
          <w:spacing w:val="0"/>
          <w:sz w:val="22"/>
          <w:szCs w:val="22"/>
        </w:rPr>
        <w:t xml:space="preserve"> Preserve existing agricultural land uses and plan for agriculture and related activities as the primary land uses in Napa County.</w:t>
      </w:r>
    </w:p>
    <w:p w:rsidR="00E85C0D" w:rsidRPr="00E85C0D" w:rsidRDefault="00E85C0D" w:rsidP="00482262">
      <w:pPr>
        <w:spacing w:after="200" w:line="276" w:lineRule="auto"/>
        <w:ind w:left="450"/>
        <w:contextualSpacing/>
        <w:jc w:val="both"/>
        <w:rPr>
          <w:rFonts w:ascii="Arial" w:eastAsiaTheme="minorHAnsi" w:hAnsi="Arial"/>
          <w:color w:val="auto"/>
          <w:spacing w:val="0"/>
          <w:sz w:val="22"/>
          <w:szCs w:val="22"/>
          <w:u w:val="single"/>
        </w:rPr>
      </w:pPr>
    </w:p>
    <w:p w:rsidR="00E85C0D" w:rsidRPr="00E85C0D" w:rsidRDefault="00E85C0D" w:rsidP="00482262">
      <w:pPr>
        <w:spacing w:after="200" w:line="276" w:lineRule="auto"/>
        <w:ind w:left="450"/>
        <w:contextualSpacing/>
        <w:jc w:val="both"/>
        <w:rPr>
          <w:rFonts w:ascii="Arial" w:eastAsiaTheme="minorHAnsi" w:hAnsi="Arial"/>
          <w:color w:val="auto"/>
          <w:spacing w:val="0"/>
          <w:sz w:val="22"/>
          <w:szCs w:val="22"/>
        </w:rPr>
      </w:pPr>
      <w:r w:rsidRPr="00E85C0D">
        <w:rPr>
          <w:rFonts w:ascii="Arial" w:eastAsiaTheme="minorHAnsi" w:hAnsi="Arial"/>
          <w:color w:val="auto"/>
          <w:spacing w:val="0"/>
          <w:sz w:val="22"/>
          <w:szCs w:val="22"/>
          <w:u w:val="single"/>
        </w:rPr>
        <w:t>Goal AG/LU-3:</w:t>
      </w:r>
      <w:r w:rsidRPr="00E85C0D">
        <w:rPr>
          <w:rFonts w:ascii="Arial" w:eastAsiaTheme="minorHAnsi" w:hAnsi="Arial"/>
          <w:color w:val="auto"/>
          <w:spacing w:val="0"/>
          <w:sz w:val="22"/>
          <w:szCs w:val="22"/>
        </w:rPr>
        <w:t xml:space="preserve"> Support the economic viability of agriculture, including grape growing, winemaking, other types of agriculture, and supporting industries to ensure the preservation of agricultural lands.</w:t>
      </w:r>
    </w:p>
    <w:p w:rsidR="00E85C0D" w:rsidRPr="00E85C0D" w:rsidRDefault="00E85C0D" w:rsidP="00482262">
      <w:pPr>
        <w:spacing w:after="200" w:line="276" w:lineRule="auto"/>
        <w:ind w:left="450"/>
        <w:contextualSpacing/>
        <w:jc w:val="both"/>
        <w:rPr>
          <w:rFonts w:ascii="Arial" w:eastAsiaTheme="minorHAnsi" w:hAnsi="Arial"/>
          <w:color w:val="auto"/>
          <w:spacing w:val="0"/>
          <w:sz w:val="22"/>
          <w:szCs w:val="22"/>
        </w:rPr>
      </w:pPr>
    </w:p>
    <w:p w:rsidR="00E85C0D" w:rsidRPr="00E85C0D" w:rsidRDefault="00E85C0D" w:rsidP="00482262">
      <w:pPr>
        <w:spacing w:after="200" w:line="276" w:lineRule="auto"/>
        <w:ind w:left="450"/>
        <w:contextualSpacing/>
        <w:jc w:val="both"/>
        <w:rPr>
          <w:rFonts w:ascii="Arial" w:eastAsiaTheme="minorHAnsi" w:hAnsi="Arial"/>
          <w:color w:val="auto"/>
          <w:spacing w:val="0"/>
          <w:sz w:val="22"/>
          <w:szCs w:val="22"/>
        </w:rPr>
      </w:pPr>
      <w:r w:rsidRPr="00E85C0D">
        <w:rPr>
          <w:rFonts w:ascii="Arial" w:eastAsiaTheme="minorHAnsi" w:hAnsi="Arial"/>
          <w:color w:val="auto"/>
          <w:spacing w:val="0"/>
          <w:sz w:val="22"/>
          <w:szCs w:val="22"/>
          <w:u w:val="single"/>
        </w:rPr>
        <w:t>Policy AG/LU-2</w:t>
      </w:r>
      <w:r w:rsidRPr="00E85C0D">
        <w:rPr>
          <w:rFonts w:ascii="Arial" w:eastAsiaTheme="minorHAnsi" w:hAnsi="Arial"/>
          <w:color w:val="auto"/>
          <w:spacing w:val="0"/>
          <w:sz w:val="22"/>
          <w:szCs w:val="22"/>
        </w:rPr>
        <w:t>: “Agriculture” is defined as the raising of crops, trees, and livestock; the production and processing of agricultural products; and related marketing, sales and other accessory uses. Agriculture also includes farm management businesses and farm worker housing.</w:t>
      </w:r>
    </w:p>
    <w:p w:rsidR="00E85C0D" w:rsidRPr="00E85C0D" w:rsidRDefault="00E85C0D" w:rsidP="00482262">
      <w:pPr>
        <w:spacing w:after="200" w:line="276" w:lineRule="auto"/>
        <w:ind w:left="450"/>
        <w:contextualSpacing/>
        <w:jc w:val="both"/>
        <w:rPr>
          <w:rFonts w:ascii="Arial" w:eastAsiaTheme="minorHAnsi" w:hAnsi="Arial"/>
          <w:color w:val="auto"/>
          <w:spacing w:val="0"/>
          <w:sz w:val="22"/>
          <w:szCs w:val="22"/>
        </w:rPr>
      </w:pPr>
    </w:p>
    <w:p w:rsidR="00E85C0D" w:rsidRPr="00E85C0D" w:rsidRDefault="00E85C0D" w:rsidP="00482262">
      <w:pPr>
        <w:spacing w:after="200" w:line="276" w:lineRule="auto"/>
        <w:ind w:left="450"/>
        <w:contextualSpacing/>
        <w:jc w:val="both"/>
        <w:rPr>
          <w:rFonts w:ascii="Arial" w:eastAsiaTheme="minorHAnsi" w:hAnsi="Arial"/>
          <w:color w:val="auto"/>
          <w:spacing w:val="0"/>
          <w:sz w:val="22"/>
          <w:szCs w:val="22"/>
        </w:rPr>
      </w:pPr>
      <w:r w:rsidRPr="00E85C0D">
        <w:rPr>
          <w:rFonts w:ascii="Arial" w:eastAsiaTheme="minorHAnsi" w:hAnsi="Arial"/>
          <w:color w:val="auto"/>
          <w:spacing w:val="0"/>
          <w:sz w:val="22"/>
          <w:szCs w:val="22"/>
          <w:u w:val="single"/>
        </w:rPr>
        <w:t>Policy AG/LU-4</w:t>
      </w:r>
      <w:r w:rsidRPr="00E85C0D">
        <w:rPr>
          <w:rFonts w:ascii="Arial" w:eastAsiaTheme="minorHAnsi" w:hAnsi="Arial"/>
          <w:color w:val="auto"/>
          <w:spacing w:val="0"/>
          <w:sz w:val="22"/>
          <w:szCs w:val="22"/>
        </w:rPr>
        <w:t>: The County will reserve agricultural lands for agricultural use including lands used for grazing and watershed/open space, except for those lands which are shown on the Land Use Map as planned for urban development.</w:t>
      </w:r>
    </w:p>
    <w:p w:rsidR="00E85C0D" w:rsidRPr="00E85C0D" w:rsidRDefault="00E85C0D" w:rsidP="00482262">
      <w:pPr>
        <w:spacing w:after="200" w:line="276" w:lineRule="auto"/>
        <w:ind w:left="450"/>
        <w:contextualSpacing/>
        <w:jc w:val="both"/>
        <w:rPr>
          <w:rFonts w:ascii="Arial" w:eastAsiaTheme="minorHAnsi" w:hAnsi="Arial"/>
          <w:color w:val="auto"/>
          <w:spacing w:val="0"/>
          <w:sz w:val="22"/>
          <w:szCs w:val="22"/>
        </w:rPr>
      </w:pPr>
    </w:p>
    <w:p w:rsidR="00E85C0D" w:rsidRPr="00E85C0D" w:rsidRDefault="00E85C0D" w:rsidP="00482262">
      <w:pPr>
        <w:spacing w:after="200" w:line="276" w:lineRule="auto"/>
        <w:ind w:left="450"/>
        <w:contextualSpacing/>
        <w:jc w:val="both"/>
        <w:rPr>
          <w:rFonts w:ascii="Arial" w:eastAsiaTheme="minorHAnsi" w:hAnsi="Arial"/>
          <w:color w:val="auto"/>
          <w:spacing w:val="0"/>
          <w:sz w:val="22"/>
          <w:szCs w:val="22"/>
        </w:rPr>
      </w:pPr>
      <w:r w:rsidRPr="00E85C0D">
        <w:rPr>
          <w:rFonts w:ascii="Arial" w:eastAsiaTheme="minorHAnsi" w:hAnsi="Arial"/>
          <w:color w:val="auto"/>
          <w:spacing w:val="0"/>
          <w:sz w:val="22"/>
          <w:szCs w:val="22"/>
          <w:u w:val="single"/>
        </w:rPr>
        <w:t>Policy AG/LU-8</w:t>
      </w:r>
      <w:r w:rsidRPr="00E85C0D">
        <w:rPr>
          <w:rFonts w:ascii="Arial" w:eastAsiaTheme="minorHAnsi" w:hAnsi="Arial"/>
          <w:color w:val="auto"/>
          <w:spacing w:val="0"/>
          <w:sz w:val="22"/>
          <w:szCs w:val="22"/>
        </w:rPr>
        <w:t>: The County’s minimum agricultural parcel sizes shall ensure that agricultural areas can be maintained as economic units.</w:t>
      </w:r>
    </w:p>
    <w:p w:rsidR="00E85C0D" w:rsidRPr="00E85C0D" w:rsidRDefault="00E85C0D" w:rsidP="00482262">
      <w:pPr>
        <w:spacing w:after="200" w:line="276" w:lineRule="auto"/>
        <w:ind w:left="450"/>
        <w:contextualSpacing/>
        <w:jc w:val="both"/>
        <w:rPr>
          <w:rFonts w:ascii="Arial" w:eastAsiaTheme="minorHAnsi" w:hAnsi="Arial"/>
          <w:color w:val="auto"/>
          <w:spacing w:val="0"/>
          <w:sz w:val="22"/>
          <w:szCs w:val="22"/>
          <w:u w:val="single"/>
        </w:rPr>
      </w:pPr>
    </w:p>
    <w:p w:rsidR="00E85C0D" w:rsidRPr="00E85C0D" w:rsidRDefault="00E85C0D" w:rsidP="00482262">
      <w:pPr>
        <w:spacing w:after="200" w:line="276" w:lineRule="auto"/>
        <w:ind w:left="450"/>
        <w:contextualSpacing/>
        <w:jc w:val="both"/>
        <w:rPr>
          <w:rFonts w:ascii="Arial" w:eastAsiaTheme="minorHAnsi" w:hAnsi="Arial"/>
          <w:color w:val="auto"/>
          <w:spacing w:val="0"/>
          <w:sz w:val="22"/>
          <w:szCs w:val="22"/>
        </w:rPr>
      </w:pPr>
      <w:r w:rsidRPr="00E85C0D">
        <w:rPr>
          <w:rFonts w:ascii="Arial" w:eastAsiaTheme="minorHAnsi" w:hAnsi="Arial"/>
          <w:color w:val="auto"/>
          <w:spacing w:val="0"/>
          <w:sz w:val="22"/>
          <w:szCs w:val="22"/>
          <w:u w:val="single"/>
        </w:rPr>
        <w:t>Policy AG/LU-15</w:t>
      </w:r>
      <w:r w:rsidRPr="00E85C0D">
        <w:rPr>
          <w:rFonts w:ascii="Arial" w:eastAsiaTheme="minorHAnsi" w:hAnsi="Arial"/>
          <w:color w:val="auto"/>
          <w:spacing w:val="0"/>
          <w:sz w:val="22"/>
          <w:szCs w:val="22"/>
        </w:rPr>
        <w:t xml:space="preserve">: The County affirms and shall protect the right of agricultural operators in designated agricultural areas to commence and continue their agricultural practices (a </w:t>
      </w:r>
      <w:r w:rsidRPr="00E85C0D">
        <w:rPr>
          <w:rFonts w:ascii="Arial" w:eastAsiaTheme="minorHAnsi" w:hAnsi="Arial"/>
          <w:color w:val="auto"/>
          <w:spacing w:val="0"/>
          <w:sz w:val="22"/>
          <w:szCs w:val="22"/>
        </w:rPr>
        <w:lastRenderedPageBreak/>
        <w:t>“right to farm”), even though established urban uses in the general area may foster complaints against those agricultural practices. The “right to farm” shall encompass the processing of agricultural products and other activities inherent in the definition of agriculture provided in Policy AG/LU-2.</w:t>
      </w:r>
    </w:p>
    <w:p w:rsidR="00E85C0D" w:rsidRPr="00E85C0D" w:rsidRDefault="00E85C0D" w:rsidP="00482262">
      <w:pPr>
        <w:spacing w:after="200" w:line="276" w:lineRule="auto"/>
        <w:ind w:left="450"/>
        <w:contextualSpacing/>
        <w:jc w:val="both"/>
        <w:rPr>
          <w:rFonts w:ascii="Arial" w:eastAsiaTheme="minorHAnsi" w:hAnsi="Arial"/>
          <w:color w:val="auto"/>
          <w:spacing w:val="0"/>
          <w:sz w:val="22"/>
          <w:szCs w:val="22"/>
        </w:rPr>
      </w:pPr>
    </w:p>
    <w:p w:rsidR="00E85C0D" w:rsidRPr="00E85C0D" w:rsidRDefault="00E85C0D" w:rsidP="00482262">
      <w:pPr>
        <w:spacing w:after="200" w:line="276" w:lineRule="auto"/>
        <w:ind w:left="450"/>
        <w:contextualSpacing/>
        <w:jc w:val="both"/>
        <w:rPr>
          <w:rFonts w:ascii="Arial" w:eastAsiaTheme="minorHAnsi" w:hAnsi="Arial"/>
          <w:color w:val="auto"/>
          <w:spacing w:val="0"/>
          <w:sz w:val="22"/>
          <w:szCs w:val="22"/>
        </w:rPr>
      </w:pPr>
      <w:r w:rsidRPr="00E85C0D">
        <w:rPr>
          <w:rFonts w:ascii="Arial" w:eastAsiaTheme="minorHAnsi" w:hAnsi="Arial"/>
          <w:color w:val="auto"/>
          <w:spacing w:val="0"/>
          <w:sz w:val="22"/>
          <w:szCs w:val="22"/>
          <w:u w:val="single"/>
        </w:rPr>
        <w:t>Goal CON-10</w:t>
      </w:r>
      <w:r w:rsidRPr="00E85C0D">
        <w:rPr>
          <w:rFonts w:ascii="Arial" w:eastAsiaTheme="minorHAnsi" w:hAnsi="Arial"/>
          <w:color w:val="auto"/>
          <w:spacing w:val="0"/>
          <w:sz w:val="22"/>
          <w:szCs w:val="22"/>
        </w:rPr>
        <w:t>: Conserve, enhance and manage water resources on a sustainable basis to attempt to ensure that sufficient amounts of water will be available for the uses allowed by this General Plan, for the natural environment, and for future generations.</w:t>
      </w:r>
    </w:p>
    <w:p w:rsidR="00E85C0D" w:rsidRPr="00E85C0D" w:rsidRDefault="00E85C0D" w:rsidP="00482262">
      <w:pPr>
        <w:spacing w:after="200" w:line="276" w:lineRule="auto"/>
        <w:ind w:left="450"/>
        <w:contextualSpacing/>
        <w:jc w:val="both"/>
        <w:rPr>
          <w:rFonts w:ascii="Arial" w:eastAsiaTheme="minorHAnsi" w:hAnsi="Arial"/>
          <w:color w:val="auto"/>
          <w:spacing w:val="0"/>
          <w:sz w:val="22"/>
          <w:szCs w:val="22"/>
        </w:rPr>
      </w:pPr>
    </w:p>
    <w:p w:rsidR="00E85C0D" w:rsidRPr="00E85C0D" w:rsidRDefault="00E85C0D" w:rsidP="00482262">
      <w:pPr>
        <w:spacing w:after="200" w:line="276" w:lineRule="auto"/>
        <w:ind w:left="450"/>
        <w:contextualSpacing/>
        <w:jc w:val="both"/>
        <w:rPr>
          <w:rFonts w:ascii="Arial" w:eastAsiaTheme="minorHAnsi" w:hAnsi="Arial"/>
          <w:color w:val="auto"/>
          <w:spacing w:val="0"/>
          <w:sz w:val="22"/>
          <w:szCs w:val="22"/>
        </w:rPr>
      </w:pPr>
      <w:r w:rsidRPr="00E85C0D">
        <w:rPr>
          <w:rFonts w:ascii="Arial" w:eastAsiaTheme="minorHAnsi" w:hAnsi="Arial"/>
          <w:color w:val="auto"/>
          <w:spacing w:val="0"/>
          <w:sz w:val="22"/>
          <w:szCs w:val="22"/>
          <w:u w:val="single"/>
        </w:rPr>
        <w:t>Goal CON-11</w:t>
      </w:r>
      <w:r w:rsidRPr="00E85C0D">
        <w:rPr>
          <w:rFonts w:ascii="Arial" w:eastAsiaTheme="minorHAnsi" w:hAnsi="Arial"/>
          <w:color w:val="auto"/>
          <w:spacing w:val="0"/>
          <w:sz w:val="22"/>
          <w:szCs w:val="22"/>
        </w:rPr>
        <w:t>: Prioritize the use of available groundwater for agricultural and rural residential uses rather than for urbanized areas and ensure that land use decisions recognize the long-term availability and value of water resources in Napa County.</w:t>
      </w:r>
    </w:p>
    <w:p w:rsidR="00E85C0D" w:rsidRPr="00E85C0D" w:rsidRDefault="00E85C0D" w:rsidP="00482262">
      <w:pPr>
        <w:spacing w:after="200" w:line="276" w:lineRule="auto"/>
        <w:ind w:left="450"/>
        <w:contextualSpacing/>
        <w:jc w:val="both"/>
        <w:rPr>
          <w:rFonts w:ascii="Arial" w:eastAsiaTheme="minorHAnsi" w:hAnsi="Arial"/>
          <w:color w:val="auto"/>
          <w:spacing w:val="0"/>
          <w:sz w:val="22"/>
          <w:szCs w:val="22"/>
        </w:rPr>
      </w:pPr>
    </w:p>
    <w:p w:rsidR="00E85C0D" w:rsidRPr="00E85C0D" w:rsidRDefault="00E85C0D" w:rsidP="00482262">
      <w:pPr>
        <w:spacing w:after="200" w:line="276" w:lineRule="auto"/>
        <w:ind w:left="450"/>
        <w:contextualSpacing/>
        <w:jc w:val="both"/>
        <w:rPr>
          <w:rFonts w:ascii="Arial" w:eastAsiaTheme="minorHAnsi" w:hAnsi="Arial"/>
          <w:color w:val="auto"/>
          <w:spacing w:val="0"/>
          <w:sz w:val="22"/>
          <w:szCs w:val="22"/>
        </w:rPr>
      </w:pPr>
      <w:r w:rsidRPr="00E85C0D">
        <w:rPr>
          <w:rFonts w:ascii="Arial" w:eastAsiaTheme="minorHAnsi" w:hAnsi="Arial"/>
          <w:color w:val="auto"/>
          <w:spacing w:val="0"/>
          <w:sz w:val="22"/>
          <w:szCs w:val="22"/>
          <w:u w:val="single"/>
        </w:rPr>
        <w:t>Policy CON-53</w:t>
      </w:r>
      <w:r w:rsidRPr="00E85C0D">
        <w:rPr>
          <w:rFonts w:ascii="Arial" w:eastAsiaTheme="minorHAnsi" w:hAnsi="Arial"/>
          <w:color w:val="auto"/>
          <w:spacing w:val="0"/>
          <w:sz w:val="22"/>
          <w:szCs w:val="22"/>
        </w:rPr>
        <w:t>: The County shall ensure that the intensity and timing of new development are consistent with the capacity of water supplies and protect groundwater and other water supplies by requiring all applicants for discretionary projects to demonstrate the availability of an adequate water supply prior to approval. Depending on the site location and the specific circumstances, adequate demonstration of availability may include evidence or calculation of groundwater availability via an appropriate hydrogeologic analysis or may be satisfied by compliance with County Code “fair-share” provisions or applicable State law. In some areas, evidence may be provided through coordination with applicable municipalities and public and private water purveyors to verify water supply sufficiency.</w:t>
      </w:r>
    </w:p>
    <w:p w:rsidR="00E85C0D" w:rsidRPr="00E85C0D" w:rsidRDefault="00E85C0D" w:rsidP="00482262">
      <w:pPr>
        <w:spacing w:after="200" w:line="276" w:lineRule="auto"/>
        <w:ind w:left="450"/>
        <w:contextualSpacing/>
        <w:jc w:val="both"/>
        <w:rPr>
          <w:rFonts w:ascii="Arial" w:eastAsiaTheme="minorHAnsi" w:hAnsi="Arial"/>
          <w:color w:val="auto"/>
          <w:spacing w:val="0"/>
          <w:sz w:val="22"/>
          <w:szCs w:val="22"/>
        </w:rPr>
      </w:pPr>
    </w:p>
    <w:p w:rsidR="00E85C0D" w:rsidRPr="00E85C0D" w:rsidRDefault="00E85C0D" w:rsidP="00482262">
      <w:pPr>
        <w:spacing w:after="200" w:line="276" w:lineRule="auto"/>
        <w:ind w:left="450"/>
        <w:contextualSpacing/>
        <w:jc w:val="both"/>
        <w:rPr>
          <w:rFonts w:ascii="Arial" w:eastAsiaTheme="minorHAnsi" w:hAnsi="Arial"/>
          <w:color w:val="auto"/>
          <w:spacing w:val="0"/>
          <w:sz w:val="22"/>
          <w:szCs w:val="22"/>
        </w:rPr>
      </w:pPr>
      <w:r w:rsidRPr="00E85C0D">
        <w:rPr>
          <w:rFonts w:ascii="Arial" w:eastAsiaTheme="minorHAnsi" w:hAnsi="Arial"/>
          <w:color w:val="auto"/>
          <w:spacing w:val="0"/>
          <w:sz w:val="22"/>
          <w:szCs w:val="22"/>
          <w:u w:val="single"/>
        </w:rPr>
        <w:t>Policy CON-55</w:t>
      </w:r>
      <w:r w:rsidRPr="00E85C0D">
        <w:rPr>
          <w:rFonts w:ascii="Arial" w:eastAsiaTheme="minorHAnsi" w:hAnsi="Arial"/>
          <w:color w:val="auto"/>
          <w:spacing w:val="0"/>
          <w:sz w:val="22"/>
          <w:szCs w:val="22"/>
        </w:rPr>
        <w:t>: The County shall consider existing water uses during the review of new water uses associated with discretionary projects, and where hydrogeologic studies have shown that the new water uses will cause significant adverse well interference or substantial reductions in groundwater discharge to surface waters that would alter critical flows to sustain riparian habitat and fisheries or exacerbate conditions of overdraft, the County shall curtail those new or expanded water uses.</w:t>
      </w:r>
    </w:p>
    <w:p w:rsidR="00E85C0D" w:rsidRPr="00E85C0D" w:rsidRDefault="00E85C0D" w:rsidP="00482262">
      <w:pPr>
        <w:spacing w:after="200" w:line="276" w:lineRule="auto"/>
        <w:ind w:left="450"/>
        <w:contextualSpacing/>
        <w:jc w:val="both"/>
        <w:rPr>
          <w:rFonts w:ascii="Arial" w:eastAsiaTheme="minorHAnsi" w:hAnsi="Arial"/>
          <w:color w:val="auto"/>
          <w:spacing w:val="0"/>
          <w:sz w:val="22"/>
          <w:szCs w:val="22"/>
        </w:rPr>
      </w:pPr>
    </w:p>
    <w:p w:rsidR="00482262" w:rsidRPr="00482262" w:rsidRDefault="00482262" w:rsidP="00482262">
      <w:pPr>
        <w:spacing w:after="200" w:line="276" w:lineRule="auto"/>
        <w:ind w:left="450"/>
        <w:contextualSpacing/>
        <w:jc w:val="both"/>
        <w:rPr>
          <w:rFonts w:ascii="Arial" w:eastAsiaTheme="minorHAnsi" w:hAnsi="Arial"/>
          <w:color w:val="auto"/>
          <w:spacing w:val="0"/>
          <w:sz w:val="22"/>
          <w:szCs w:val="22"/>
        </w:rPr>
      </w:pPr>
      <w:r w:rsidRPr="00482262">
        <w:rPr>
          <w:rFonts w:ascii="Arial" w:eastAsiaTheme="minorHAnsi" w:hAnsi="Arial"/>
          <w:color w:val="auto"/>
          <w:spacing w:val="0"/>
          <w:sz w:val="22"/>
          <w:szCs w:val="22"/>
          <w:u w:val="single"/>
        </w:rPr>
        <w:t>Policy CON-60.</w:t>
      </w:r>
      <w:r w:rsidRPr="00B0067E">
        <w:rPr>
          <w:rFonts w:ascii="Arial" w:eastAsiaTheme="minorHAnsi" w:hAnsi="Arial"/>
          <w:color w:val="auto"/>
          <w:spacing w:val="0"/>
          <w:sz w:val="22"/>
          <w:szCs w:val="22"/>
        </w:rPr>
        <w:t>5</w:t>
      </w:r>
      <w:r w:rsidR="00B0067E">
        <w:rPr>
          <w:rFonts w:ascii="Arial" w:eastAsiaTheme="minorHAnsi" w:hAnsi="Arial"/>
          <w:color w:val="auto"/>
          <w:spacing w:val="0"/>
          <w:sz w:val="22"/>
          <w:szCs w:val="22"/>
        </w:rPr>
        <w:t xml:space="preserve">: </w:t>
      </w:r>
      <w:r w:rsidRPr="00B0067E">
        <w:rPr>
          <w:rFonts w:ascii="Arial" w:eastAsiaTheme="minorHAnsi" w:hAnsi="Arial"/>
          <w:color w:val="auto"/>
          <w:spacing w:val="0"/>
          <w:sz w:val="22"/>
          <w:szCs w:val="22"/>
        </w:rPr>
        <w:t>All</w:t>
      </w:r>
      <w:r w:rsidRPr="00482262">
        <w:rPr>
          <w:rFonts w:ascii="Arial" w:eastAsiaTheme="minorHAnsi" w:hAnsi="Arial"/>
          <w:color w:val="auto"/>
          <w:spacing w:val="0"/>
          <w:sz w:val="22"/>
          <w:szCs w:val="22"/>
        </w:rPr>
        <w:t xml:space="preserve"> aspects of landscaping from the selection of plants to soil preparation and the installation of irrigation systems should be designed to reduce water demand, retain runoff, decrease flooding, and recharge groundwater.</w:t>
      </w:r>
    </w:p>
    <w:p w:rsidR="00482262" w:rsidRPr="00482262" w:rsidRDefault="00482262" w:rsidP="00482262">
      <w:pPr>
        <w:spacing w:after="200" w:line="276" w:lineRule="auto"/>
        <w:ind w:left="450"/>
        <w:contextualSpacing/>
        <w:jc w:val="both"/>
        <w:rPr>
          <w:rFonts w:ascii="Arial" w:eastAsiaTheme="minorHAnsi" w:hAnsi="Arial"/>
          <w:color w:val="auto"/>
          <w:spacing w:val="0"/>
          <w:sz w:val="22"/>
          <w:szCs w:val="22"/>
        </w:rPr>
      </w:pPr>
    </w:p>
    <w:p w:rsidR="00482262" w:rsidRPr="00482262" w:rsidRDefault="00482262" w:rsidP="00482262">
      <w:pPr>
        <w:spacing w:after="200" w:line="276" w:lineRule="auto"/>
        <w:ind w:left="450"/>
        <w:contextualSpacing/>
        <w:jc w:val="both"/>
        <w:rPr>
          <w:rFonts w:ascii="Arial" w:eastAsiaTheme="minorHAnsi" w:hAnsi="Arial"/>
          <w:color w:val="auto"/>
          <w:spacing w:val="0"/>
          <w:sz w:val="22"/>
          <w:szCs w:val="22"/>
        </w:rPr>
      </w:pPr>
      <w:r w:rsidRPr="00482262">
        <w:rPr>
          <w:rFonts w:ascii="Arial" w:eastAsiaTheme="minorHAnsi" w:hAnsi="Arial"/>
          <w:color w:val="auto"/>
          <w:spacing w:val="0"/>
          <w:sz w:val="22"/>
          <w:szCs w:val="22"/>
          <w:u w:val="single"/>
        </w:rPr>
        <w:t>Policy CON-72:</w:t>
      </w:r>
      <w:r w:rsidR="00B0067E">
        <w:rPr>
          <w:rFonts w:ascii="Arial" w:eastAsiaTheme="minorHAnsi" w:hAnsi="Arial"/>
          <w:color w:val="auto"/>
          <w:spacing w:val="0"/>
          <w:sz w:val="22"/>
          <w:szCs w:val="22"/>
        </w:rPr>
        <w:t xml:space="preserve"> </w:t>
      </w:r>
      <w:r w:rsidRPr="00482262">
        <w:rPr>
          <w:rFonts w:ascii="Arial" w:eastAsiaTheme="minorHAnsi" w:hAnsi="Arial"/>
          <w:color w:val="auto"/>
          <w:spacing w:val="0"/>
          <w:sz w:val="22"/>
          <w:szCs w:val="22"/>
        </w:rPr>
        <w:t>The County shall seek to reduce the energy impacts from new buildings by applying Title 24 energy standards as required by law and providing information to the public and builders on available energy conservation techniques, products, and methods available to exceed those standards by 15 percent or more.</w:t>
      </w:r>
    </w:p>
    <w:p w:rsidR="00482262" w:rsidRPr="00482262" w:rsidRDefault="00482262" w:rsidP="00482262">
      <w:pPr>
        <w:spacing w:after="200" w:line="276" w:lineRule="auto"/>
        <w:ind w:left="450"/>
        <w:contextualSpacing/>
        <w:jc w:val="both"/>
        <w:rPr>
          <w:rFonts w:ascii="Arial" w:eastAsiaTheme="minorHAnsi" w:hAnsi="Arial"/>
          <w:color w:val="auto"/>
          <w:spacing w:val="0"/>
          <w:sz w:val="22"/>
          <w:szCs w:val="22"/>
          <w:u w:val="single"/>
        </w:rPr>
      </w:pPr>
    </w:p>
    <w:p w:rsidR="00482262" w:rsidRPr="00482262" w:rsidRDefault="00482262" w:rsidP="00482262">
      <w:pPr>
        <w:spacing w:after="200" w:line="276" w:lineRule="auto"/>
        <w:ind w:left="450"/>
        <w:contextualSpacing/>
        <w:jc w:val="both"/>
        <w:rPr>
          <w:rFonts w:ascii="Arial" w:eastAsiaTheme="minorHAnsi" w:hAnsi="Arial"/>
          <w:color w:val="auto"/>
          <w:spacing w:val="0"/>
          <w:sz w:val="22"/>
          <w:szCs w:val="22"/>
        </w:rPr>
      </w:pPr>
      <w:r w:rsidRPr="00482262">
        <w:rPr>
          <w:rFonts w:ascii="Arial" w:eastAsiaTheme="minorHAnsi" w:hAnsi="Arial"/>
          <w:color w:val="auto"/>
          <w:spacing w:val="0"/>
          <w:sz w:val="22"/>
          <w:szCs w:val="22"/>
          <w:u w:val="single"/>
        </w:rPr>
        <w:t>Policy CON-77:</w:t>
      </w:r>
      <w:r w:rsidRPr="00482262">
        <w:rPr>
          <w:rFonts w:ascii="Arial" w:eastAsiaTheme="minorHAnsi" w:hAnsi="Arial"/>
          <w:color w:val="auto"/>
          <w:spacing w:val="0"/>
          <w:sz w:val="22"/>
          <w:szCs w:val="22"/>
        </w:rPr>
        <w:tab/>
        <w:t xml:space="preserve">All new discretionary projects shall be evaluated to determine potential significant project-specific air quality impacts and shall be required to incorporate appropriate design, construction, and operational features to reduce emissions of criteria pollutants regulated by the state and federal governments below the applicable significance </w:t>
      </w:r>
      <w:r w:rsidRPr="00482262">
        <w:rPr>
          <w:rFonts w:ascii="Arial" w:eastAsiaTheme="minorHAnsi" w:hAnsi="Arial"/>
          <w:color w:val="auto"/>
          <w:spacing w:val="0"/>
          <w:sz w:val="22"/>
          <w:szCs w:val="22"/>
        </w:rPr>
        <w:lastRenderedPageBreak/>
        <w:t>standard(s) or implement alternate and equally effective mitigation strategies consistent with BAAQMD’s air quality improvement programs to reduce emissions. In addition to these policies, the County’s land use policies discourage scattered development which contributes to continued dependence on the private automobile as the only means of convenient transportation. The County’s land use policies also contribute to efforts to reduce air pollution.</w:t>
      </w:r>
    </w:p>
    <w:p w:rsidR="00482262" w:rsidRPr="00482262" w:rsidRDefault="00482262" w:rsidP="00482262">
      <w:pPr>
        <w:spacing w:after="200" w:line="276" w:lineRule="auto"/>
        <w:ind w:left="450"/>
        <w:contextualSpacing/>
        <w:jc w:val="both"/>
        <w:rPr>
          <w:rFonts w:ascii="Arial" w:eastAsiaTheme="minorHAnsi" w:hAnsi="Arial"/>
          <w:color w:val="auto"/>
          <w:spacing w:val="0"/>
          <w:sz w:val="22"/>
          <w:szCs w:val="22"/>
        </w:rPr>
      </w:pPr>
    </w:p>
    <w:p w:rsidR="00E85C0D" w:rsidRPr="00E85C0D" w:rsidRDefault="00E85C0D" w:rsidP="00482262">
      <w:pPr>
        <w:spacing w:after="200" w:line="276" w:lineRule="auto"/>
        <w:ind w:left="450"/>
        <w:contextualSpacing/>
        <w:jc w:val="both"/>
        <w:rPr>
          <w:rFonts w:ascii="Arial" w:eastAsiaTheme="minorHAnsi" w:hAnsi="Arial"/>
          <w:color w:val="auto"/>
          <w:spacing w:val="0"/>
          <w:sz w:val="22"/>
          <w:szCs w:val="22"/>
        </w:rPr>
      </w:pPr>
      <w:r w:rsidRPr="00E85C0D">
        <w:rPr>
          <w:rFonts w:ascii="Arial" w:eastAsiaTheme="minorHAnsi" w:hAnsi="Arial"/>
          <w:color w:val="auto"/>
          <w:spacing w:val="0"/>
          <w:sz w:val="22"/>
          <w:szCs w:val="22"/>
          <w:u w:val="single"/>
        </w:rPr>
        <w:t>Policy CON-81</w:t>
      </w:r>
      <w:r w:rsidRPr="00E85C0D">
        <w:rPr>
          <w:rFonts w:ascii="Arial" w:eastAsiaTheme="minorHAnsi" w:hAnsi="Arial"/>
          <w:color w:val="auto"/>
          <w:spacing w:val="0"/>
          <w:sz w:val="22"/>
          <w:szCs w:val="22"/>
        </w:rPr>
        <w:t>: The County shall require dust control measures to be applied to construction projects consistent with measures recommended for use by the BAAQMD [Bay Area Air Quality Management District].</w:t>
      </w:r>
    </w:p>
    <w:p w:rsidR="00E85C0D" w:rsidRPr="00E85C0D" w:rsidRDefault="00E85C0D" w:rsidP="00482262">
      <w:pPr>
        <w:spacing w:after="200" w:line="276" w:lineRule="auto"/>
        <w:ind w:left="450"/>
        <w:contextualSpacing/>
        <w:jc w:val="both"/>
        <w:rPr>
          <w:rFonts w:ascii="Arial" w:eastAsiaTheme="minorHAnsi" w:hAnsi="Arial"/>
          <w:color w:val="auto"/>
          <w:spacing w:val="0"/>
          <w:sz w:val="22"/>
          <w:szCs w:val="22"/>
        </w:rPr>
      </w:pPr>
    </w:p>
    <w:p w:rsidR="00E85C0D" w:rsidRPr="00E85C0D" w:rsidRDefault="00E85C0D" w:rsidP="00482262">
      <w:pPr>
        <w:spacing w:after="200" w:line="276" w:lineRule="auto"/>
        <w:ind w:left="450"/>
        <w:contextualSpacing/>
        <w:jc w:val="both"/>
        <w:rPr>
          <w:rFonts w:ascii="Arial" w:eastAsiaTheme="minorHAnsi" w:hAnsi="Arial"/>
          <w:color w:val="auto"/>
          <w:spacing w:val="0"/>
          <w:sz w:val="22"/>
          <w:szCs w:val="22"/>
        </w:rPr>
      </w:pPr>
      <w:r w:rsidRPr="00105EBE">
        <w:rPr>
          <w:rFonts w:ascii="Arial" w:eastAsiaTheme="minorHAnsi" w:hAnsi="Arial"/>
          <w:color w:val="auto"/>
          <w:spacing w:val="0"/>
          <w:sz w:val="22"/>
          <w:szCs w:val="22"/>
          <w:u w:val="single"/>
        </w:rPr>
        <w:t>Goal E-1</w:t>
      </w:r>
      <w:r w:rsidRPr="00E85C0D">
        <w:rPr>
          <w:rFonts w:ascii="Arial" w:eastAsiaTheme="minorHAnsi" w:hAnsi="Arial"/>
          <w:color w:val="auto"/>
          <w:spacing w:val="0"/>
          <w:sz w:val="22"/>
          <w:szCs w:val="22"/>
        </w:rPr>
        <w:t>: Maintain and enhance the economic viability of agriculture.</w:t>
      </w:r>
    </w:p>
    <w:p w:rsidR="00E85C0D" w:rsidRPr="00E85C0D" w:rsidRDefault="00E85C0D" w:rsidP="00482262">
      <w:pPr>
        <w:spacing w:after="200" w:line="276" w:lineRule="auto"/>
        <w:ind w:left="450"/>
        <w:contextualSpacing/>
        <w:jc w:val="both"/>
        <w:rPr>
          <w:rFonts w:ascii="Arial" w:eastAsiaTheme="minorHAnsi" w:hAnsi="Arial"/>
          <w:color w:val="auto"/>
          <w:spacing w:val="0"/>
          <w:sz w:val="22"/>
          <w:szCs w:val="22"/>
        </w:rPr>
      </w:pPr>
    </w:p>
    <w:p w:rsidR="00E85C0D" w:rsidRPr="00E85C0D" w:rsidRDefault="00E85C0D" w:rsidP="00482262">
      <w:pPr>
        <w:spacing w:after="200" w:line="276" w:lineRule="auto"/>
        <w:ind w:left="450"/>
        <w:contextualSpacing/>
        <w:jc w:val="both"/>
        <w:rPr>
          <w:rFonts w:ascii="Arial" w:eastAsiaTheme="minorHAnsi" w:hAnsi="Arial"/>
          <w:color w:val="auto"/>
          <w:spacing w:val="0"/>
          <w:sz w:val="22"/>
          <w:szCs w:val="22"/>
        </w:rPr>
      </w:pPr>
      <w:r w:rsidRPr="00105EBE">
        <w:rPr>
          <w:rFonts w:ascii="Arial" w:eastAsiaTheme="minorHAnsi" w:hAnsi="Arial"/>
          <w:color w:val="auto"/>
          <w:spacing w:val="0"/>
          <w:sz w:val="22"/>
          <w:szCs w:val="22"/>
          <w:u w:val="single"/>
        </w:rPr>
        <w:t>Policy E-1</w:t>
      </w:r>
      <w:r w:rsidRPr="00E85C0D">
        <w:rPr>
          <w:rFonts w:ascii="Arial" w:eastAsiaTheme="minorHAnsi" w:hAnsi="Arial"/>
          <w:color w:val="auto"/>
          <w:spacing w:val="0"/>
          <w:sz w:val="22"/>
          <w:szCs w:val="22"/>
        </w:rPr>
        <w:t>: The County’s economic development will focus on ensuring the continued viability of agriculture in Napa County.</w:t>
      </w:r>
    </w:p>
    <w:p w:rsidR="00105EBE" w:rsidRPr="00105EBE" w:rsidRDefault="00105EBE" w:rsidP="00482262">
      <w:pPr>
        <w:jc w:val="both"/>
        <w:rPr>
          <w:rFonts w:ascii="Arial" w:hAnsi="Arial"/>
        </w:rPr>
      </w:pPr>
    </w:p>
    <w:p w:rsidR="00482262" w:rsidRPr="00482262" w:rsidRDefault="00482262" w:rsidP="00482262">
      <w:pPr>
        <w:ind w:left="450"/>
        <w:jc w:val="both"/>
        <w:rPr>
          <w:rFonts w:ascii="Arial" w:hAnsi="Arial"/>
          <w:color w:val="auto"/>
        </w:rPr>
      </w:pPr>
      <w:r w:rsidRPr="00482262">
        <w:rPr>
          <w:rFonts w:ascii="Arial" w:hAnsi="Arial"/>
          <w:color w:val="auto"/>
          <w:u w:val="single"/>
        </w:rPr>
        <w:t>Policy SAF-20</w:t>
      </w:r>
      <w:r w:rsidRPr="00482262">
        <w:rPr>
          <w:rFonts w:ascii="Arial" w:hAnsi="Arial"/>
          <w:color w:val="auto"/>
        </w:rPr>
        <w:t>:</w:t>
      </w:r>
      <w:r w:rsidRPr="00482262">
        <w:rPr>
          <w:rFonts w:ascii="Arial" w:hAnsi="Arial"/>
          <w:color w:val="auto"/>
        </w:rPr>
        <w:tab/>
        <w:t xml:space="preserve">All new development shall comply with established fire safety standards. Design plans shall be referred to the appropriate fire agency for comment as to: </w:t>
      </w:r>
    </w:p>
    <w:p w:rsidR="00482262" w:rsidRPr="00482262" w:rsidRDefault="00482262" w:rsidP="00482262">
      <w:pPr>
        <w:ind w:left="720"/>
        <w:jc w:val="both"/>
        <w:rPr>
          <w:rFonts w:ascii="Arial" w:hAnsi="Arial"/>
          <w:color w:val="auto"/>
        </w:rPr>
      </w:pPr>
      <w:r w:rsidRPr="00482262">
        <w:rPr>
          <w:rFonts w:ascii="Arial" w:hAnsi="Arial"/>
          <w:color w:val="auto"/>
        </w:rPr>
        <w:t>1)</w:t>
      </w:r>
      <w:r w:rsidRPr="00482262">
        <w:rPr>
          <w:rFonts w:ascii="Arial" w:hAnsi="Arial"/>
          <w:color w:val="auto"/>
        </w:rPr>
        <w:tab/>
        <w:t>Adequacy of water supply.</w:t>
      </w:r>
    </w:p>
    <w:p w:rsidR="00482262" w:rsidRPr="00482262" w:rsidRDefault="00482262" w:rsidP="00482262">
      <w:pPr>
        <w:ind w:left="720"/>
        <w:jc w:val="both"/>
        <w:rPr>
          <w:rFonts w:ascii="Arial" w:hAnsi="Arial"/>
          <w:color w:val="auto"/>
        </w:rPr>
      </w:pPr>
      <w:r w:rsidRPr="00482262">
        <w:rPr>
          <w:rFonts w:ascii="Arial" w:hAnsi="Arial"/>
          <w:color w:val="auto"/>
        </w:rPr>
        <w:t>2)</w:t>
      </w:r>
      <w:r w:rsidRPr="00482262">
        <w:rPr>
          <w:rFonts w:ascii="Arial" w:hAnsi="Arial"/>
          <w:color w:val="auto"/>
        </w:rPr>
        <w:tab/>
        <w:t xml:space="preserve">Site design for fire department access in and around structures. </w:t>
      </w:r>
    </w:p>
    <w:p w:rsidR="00482262" w:rsidRPr="00482262" w:rsidRDefault="00482262" w:rsidP="00482262">
      <w:pPr>
        <w:ind w:left="720"/>
        <w:jc w:val="both"/>
        <w:rPr>
          <w:rFonts w:ascii="Arial" w:hAnsi="Arial"/>
          <w:color w:val="auto"/>
        </w:rPr>
      </w:pPr>
      <w:r w:rsidRPr="00482262">
        <w:rPr>
          <w:rFonts w:ascii="Arial" w:hAnsi="Arial"/>
          <w:color w:val="auto"/>
        </w:rPr>
        <w:t>3)</w:t>
      </w:r>
      <w:r w:rsidRPr="00482262">
        <w:rPr>
          <w:rFonts w:ascii="Arial" w:hAnsi="Arial"/>
          <w:color w:val="auto"/>
        </w:rPr>
        <w:tab/>
        <w:t>Ability for a safe and efficient fire department response.</w:t>
      </w:r>
    </w:p>
    <w:p w:rsidR="00482262" w:rsidRPr="00482262" w:rsidRDefault="00482262" w:rsidP="00482262">
      <w:pPr>
        <w:ind w:left="720"/>
        <w:jc w:val="both"/>
        <w:rPr>
          <w:rFonts w:ascii="Arial" w:hAnsi="Arial"/>
          <w:color w:val="auto"/>
        </w:rPr>
      </w:pPr>
      <w:r w:rsidRPr="00482262">
        <w:rPr>
          <w:rFonts w:ascii="Arial" w:hAnsi="Arial"/>
          <w:color w:val="auto"/>
        </w:rPr>
        <w:t>4)</w:t>
      </w:r>
      <w:r w:rsidRPr="00482262">
        <w:rPr>
          <w:rFonts w:ascii="Arial" w:hAnsi="Arial"/>
          <w:color w:val="auto"/>
        </w:rPr>
        <w:tab/>
        <w:t>Traffic flow and ingress/egress for residents and emergency vehicles.</w:t>
      </w:r>
    </w:p>
    <w:p w:rsidR="00482262" w:rsidRPr="00482262" w:rsidRDefault="00482262" w:rsidP="00482262">
      <w:pPr>
        <w:ind w:left="720"/>
        <w:jc w:val="both"/>
        <w:rPr>
          <w:rFonts w:ascii="Arial" w:hAnsi="Arial"/>
          <w:color w:val="auto"/>
        </w:rPr>
      </w:pPr>
      <w:r w:rsidRPr="00482262">
        <w:rPr>
          <w:rFonts w:ascii="Arial" w:hAnsi="Arial"/>
          <w:color w:val="auto"/>
        </w:rPr>
        <w:t>5)</w:t>
      </w:r>
      <w:r w:rsidRPr="00482262">
        <w:rPr>
          <w:rFonts w:ascii="Arial" w:hAnsi="Arial"/>
          <w:color w:val="auto"/>
        </w:rPr>
        <w:tab/>
        <w:t>Site-specific built-in fire protection.</w:t>
      </w:r>
    </w:p>
    <w:p w:rsidR="00482262" w:rsidRPr="00482262" w:rsidRDefault="00482262" w:rsidP="00482262">
      <w:pPr>
        <w:ind w:left="720"/>
        <w:jc w:val="both"/>
        <w:rPr>
          <w:rFonts w:ascii="Arial" w:hAnsi="Arial"/>
          <w:color w:val="auto"/>
        </w:rPr>
      </w:pPr>
      <w:r w:rsidRPr="00482262">
        <w:rPr>
          <w:rFonts w:ascii="Arial" w:hAnsi="Arial"/>
          <w:color w:val="auto"/>
        </w:rPr>
        <w:t>6)</w:t>
      </w:r>
      <w:r w:rsidRPr="00482262">
        <w:rPr>
          <w:rFonts w:ascii="Arial" w:hAnsi="Arial"/>
          <w:color w:val="auto"/>
        </w:rPr>
        <w:tab/>
        <w:t>Potential impacts to emergency service</w:t>
      </w:r>
      <w:r>
        <w:rPr>
          <w:rFonts w:ascii="Arial" w:hAnsi="Arial"/>
          <w:color w:val="auto"/>
        </w:rPr>
        <w:t>s and fire department response.</w:t>
      </w:r>
    </w:p>
    <w:p w:rsidR="00482262" w:rsidRPr="00482262" w:rsidRDefault="00482262" w:rsidP="00482262">
      <w:pPr>
        <w:jc w:val="both"/>
        <w:rPr>
          <w:rFonts w:ascii="Arial" w:hAnsi="Arial"/>
          <w:color w:val="auto"/>
        </w:rPr>
      </w:pPr>
    </w:p>
    <w:p w:rsidR="00105EBE" w:rsidRPr="00482262" w:rsidRDefault="00E72A3F" w:rsidP="00482262">
      <w:pPr>
        <w:ind w:left="360" w:hanging="360"/>
        <w:jc w:val="both"/>
        <w:rPr>
          <w:rFonts w:ascii="Arial" w:hAnsi="Arial"/>
          <w:color w:val="auto"/>
        </w:rPr>
      </w:pPr>
      <w:r>
        <w:rPr>
          <w:rFonts w:ascii="Arial" w:hAnsi="Arial"/>
          <w:color w:val="auto"/>
        </w:rPr>
        <w:t>12</w:t>
      </w:r>
      <w:bookmarkStart w:id="0" w:name="_GoBack"/>
      <w:bookmarkEnd w:id="0"/>
      <w:r w:rsidR="00105EBE" w:rsidRPr="00482262">
        <w:rPr>
          <w:rFonts w:ascii="Arial" w:hAnsi="Arial"/>
          <w:color w:val="auto"/>
        </w:rPr>
        <w:t>.</w:t>
      </w:r>
      <w:r w:rsidR="00105EBE" w:rsidRPr="00482262">
        <w:rPr>
          <w:rFonts w:ascii="Arial" w:hAnsi="Arial"/>
          <w:color w:val="auto"/>
        </w:rPr>
        <w:tab/>
        <w:t>That the proposed use would not require a new water system or improvement causing significant adverse effects, either individually or cumulatively, on an affected groundwater basin in Napa County, unless that use would satisfy any of the other criteria specified for approval or waiver of a groundwater permit under Sections 13.15.070 or 13.15.080 of the County Code.</w:t>
      </w:r>
    </w:p>
    <w:p w:rsidR="00105EBE" w:rsidRPr="00105EBE" w:rsidRDefault="00105EBE" w:rsidP="00482262">
      <w:pPr>
        <w:jc w:val="both"/>
        <w:rPr>
          <w:rFonts w:ascii="Arial" w:hAnsi="Arial"/>
        </w:rPr>
      </w:pPr>
    </w:p>
    <w:p w:rsidR="00155C62" w:rsidRPr="00155C62" w:rsidRDefault="00105EBE" w:rsidP="00155C62">
      <w:pPr>
        <w:ind w:left="360"/>
        <w:jc w:val="both"/>
        <w:rPr>
          <w:rFonts w:ascii="Arial" w:hAnsi="Arial"/>
          <w:color w:val="auto"/>
        </w:rPr>
      </w:pPr>
      <w:r w:rsidRPr="00482262">
        <w:rPr>
          <w:rFonts w:ascii="Arial" w:hAnsi="Arial"/>
          <w:b/>
          <w:color w:val="auto"/>
        </w:rPr>
        <w:t>Analysis:</w:t>
      </w:r>
      <w:r w:rsidRPr="00482262">
        <w:rPr>
          <w:rFonts w:ascii="Arial" w:hAnsi="Arial"/>
          <w:color w:val="auto"/>
        </w:rPr>
        <w:t xml:space="preserve"> T</w:t>
      </w:r>
      <w:r w:rsidR="00155C62" w:rsidRPr="00155C62">
        <w:rPr>
          <w:rFonts w:ascii="Arial" w:hAnsi="Arial"/>
          <w:color w:val="auto"/>
        </w:rPr>
        <w:t>he project is consistent with General Plan Conservation Policies CON-53 and CON-55, which require that applicants, who are seeking discretionary land use approvals, prove that adequate water supplies are available to serve the proposed use without causing significant negative impacts to shared groundwater resources.</w:t>
      </w:r>
      <w:r w:rsidR="00333E56">
        <w:rPr>
          <w:rFonts w:ascii="Arial" w:hAnsi="Arial"/>
          <w:color w:val="auto"/>
        </w:rPr>
        <w:t xml:space="preserve"> The current water demand on site is 15.1 acre-feet per year (afy). The proposed project would add 0.8 afy of demand. </w:t>
      </w:r>
      <w:r w:rsidR="00F065CE">
        <w:rPr>
          <w:rFonts w:ascii="Arial" w:hAnsi="Arial"/>
          <w:color w:val="auto"/>
        </w:rPr>
        <w:t>The applicant provided</w:t>
      </w:r>
      <w:r w:rsidR="00155C62">
        <w:rPr>
          <w:rFonts w:ascii="Arial" w:hAnsi="Arial"/>
          <w:color w:val="auto"/>
        </w:rPr>
        <w:t xml:space="preserve"> </w:t>
      </w:r>
      <w:r w:rsidR="00155C62" w:rsidRPr="00155C62">
        <w:rPr>
          <w:rFonts w:ascii="Arial" w:hAnsi="Arial"/>
          <w:color w:val="auto"/>
        </w:rPr>
        <w:t>a Tier I annual g</w:t>
      </w:r>
      <w:r w:rsidR="00155C62">
        <w:rPr>
          <w:rFonts w:ascii="Arial" w:hAnsi="Arial"/>
          <w:color w:val="auto"/>
        </w:rPr>
        <w:t xml:space="preserve">roundwater recharge estimate </w:t>
      </w:r>
      <w:r w:rsidR="00F065CE">
        <w:rPr>
          <w:rFonts w:ascii="Arial" w:hAnsi="Arial"/>
          <w:color w:val="auto"/>
        </w:rPr>
        <w:t>which showed, based</w:t>
      </w:r>
      <w:r w:rsidR="00155C62" w:rsidRPr="00155C62">
        <w:rPr>
          <w:rFonts w:ascii="Arial" w:hAnsi="Arial"/>
          <w:color w:val="auto"/>
        </w:rPr>
        <w:t xml:space="preserve"> on the surveyed soil types present on the site and the estimated annual average precipitation of 3</w:t>
      </w:r>
      <w:r w:rsidR="00B4483D">
        <w:rPr>
          <w:rFonts w:ascii="Arial" w:hAnsi="Arial"/>
          <w:color w:val="auto"/>
        </w:rPr>
        <w:t>4</w:t>
      </w:r>
      <w:r w:rsidR="00155C62" w:rsidRPr="00155C62">
        <w:rPr>
          <w:rFonts w:ascii="Arial" w:hAnsi="Arial"/>
          <w:color w:val="auto"/>
        </w:rPr>
        <w:t>.7 inches per year,</w:t>
      </w:r>
      <w:r w:rsidR="00F065CE">
        <w:rPr>
          <w:rFonts w:ascii="Arial" w:hAnsi="Arial"/>
          <w:color w:val="auto"/>
        </w:rPr>
        <w:t xml:space="preserve"> </w:t>
      </w:r>
      <w:r w:rsidR="00155C62" w:rsidRPr="00155C62">
        <w:rPr>
          <w:rFonts w:ascii="Arial" w:hAnsi="Arial"/>
          <w:color w:val="auto"/>
        </w:rPr>
        <w:t xml:space="preserve">that approximately </w:t>
      </w:r>
      <w:r w:rsidR="00B4483D">
        <w:rPr>
          <w:rFonts w:ascii="Arial" w:hAnsi="Arial"/>
          <w:color w:val="auto"/>
        </w:rPr>
        <w:t>16</w:t>
      </w:r>
      <w:r w:rsidR="00155C62" w:rsidRPr="00155C62">
        <w:rPr>
          <w:rFonts w:ascii="Arial" w:hAnsi="Arial"/>
          <w:color w:val="auto"/>
        </w:rPr>
        <w:t xml:space="preserve"> afy of groundwater is recharged annually, which is greater than t</w:t>
      </w:r>
      <w:r w:rsidR="00B4483D">
        <w:rPr>
          <w:rFonts w:ascii="Arial" w:hAnsi="Arial"/>
          <w:color w:val="auto"/>
        </w:rPr>
        <w:t>he annual proposed demand of 15.9</w:t>
      </w:r>
      <w:r w:rsidR="00155C62" w:rsidRPr="00155C62">
        <w:rPr>
          <w:rFonts w:ascii="Arial" w:hAnsi="Arial"/>
          <w:color w:val="auto"/>
        </w:rPr>
        <w:t xml:space="preserve"> afy.</w:t>
      </w:r>
    </w:p>
    <w:p w:rsidR="00155C62" w:rsidRDefault="00155C62" w:rsidP="00155C62">
      <w:pPr>
        <w:ind w:left="360"/>
        <w:jc w:val="both"/>
        <w:rPr>
          <w:rFonts w:ascii="Arial" w:hAnsi="Arial"/>
          <w:color w:val="auto"/>
        </w:rPr>
      </w:pPr>
    </w:p>
    <w:p w:rsidR="00E85C0D" w:rsidRPr="00155C62" w:rsidRDefault="00155C62" w:rsidP="00155C62">
      <w:pPr>
        <w:ind w:left="360"/>
        <w:jc w:val="both"/>
        <w:rPr>
          <w:rFonts w:ascii="Arial" w:hAnsi="Arial"/>
          <w:color w:val="auto"/>
        </w:rPr>
      </w:pPr>
      <w:r w:rsidRPr="00155C62">
        <w:rPr>
          <w:rFonts w:ascii="Arial" w:hAnsi="Arial"/>
          <w:color w:val="auto"/>
        </w:rPr>
        <w:lastRenderedPageBreak/>
        <w:t>The proposed project would not result in a substantial increase the demand of ground water supplies or interfere with groundwater recharge or lowering of the local groundwater level. According to Napa County environmental resource mapping (Water Deficient Areas/Storage Areas), the project site is not located within a water deficient area and the County is not aware of, nor has it received any reports of groundwater deficiencies in the area. Because the projected water demand for the project is below the estimated mean estimated groundwater availability acre feet per year for the parcel, the requested Use Permit is consistent with General Plan Goals CON-10 and CON-11, as well as the policies mentioned above that support reservation and sustainable use of groundwater for agricultural and related purposes. The project will not require a new water system or other improvements and will not have a negative impact on local groundwater.</w:t>
      </w:r>
    </w:p>
    <w:sectPr w:rsidR="00E85C0D" w:rsidRPr="00155C62" w:rsidSect="002746B5">
      <w:footerReference w:type="default" r:id="rId8"/>
      <w:footerReference w:type="firs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C0D" w:rsidRDefault="00E85C0D" w:rsidP="00E85C0D">
      <w:r>
        <w:separator/>
      </w:r>
    </w:p>
  </w:endnote>
  <w:endnote w:type="continuationSeparator" w:id="0">
    <w:p w:rsidR="00E85C0D" w:rsidRDefault="00E85C0D" w:rsidP="00E8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262" w:rsidRDefault="00482262" w:rsidP="002746B5">
    <w:pPr>
      <w:pStyle w:val="Footer"/>
      <w:jc w:val="right"/>
      <w:rPr>
        <w:rFonts w:ascii="Arial" w:hAnsi="Arial"/>
        <w:color w:val="auto"/>
        <w:sz w:val="20"/>
        <w:szCs w:val="20"/>
      </w:rPr>
    </w:pPr>
  </w:p>
  <w:p w:rsidR="002746B5" w:rsidRPr="002746B5" w:rsidRDefault="002746B5" w:rsidP="002746B5">
    <w:pPr>
      <w:pStyle w:val="Footer"/>
      <w:jc w:val="right"/>
      <w:rPr>
        <w:rFonts w:ascii="Arial" w:hAnsi="Arial"/>
        <w:color w:val="auto"/>
        <w:sz w:val="20"/>
        <w:szCs w:val="20"/>
      </w:rPr>
    </w:pPr>
    <w:r w:rsidRPr="002746B5">
      <w:rPr>
        <w:rFonts w:ascii="Arial" w:hAnsi="Arial"/>
        <w:color w:val="auto"/>
        <w:sz w:val="20"/>
        <w:szCs w:val="20"/>
      </w:rPr>
      <w:t>Recommended Findings</w:t>
    </w:r>
    <w:r>
      <w:rPr>
        <w:rFonts w:ascii="Arial" w:hAnsi="Arial"/>
        <w:color w:val="auto"/>
        <w:sz w:val="20"/>
        <w:szCs w:val="20"/>
      </w:rPr>
      <w:tab/>
    </w:r>
    <w:r>
      <w:rPr>
        <w:rFonts w:ascii="Arial" w:hAnsi="Arial"/>
        <w:color w:val="auto"/>
        <w:sz w:val="20"/>
        <w:szCs w:val="20"/>
      </w:rPr>
      <w:tab/>
      <w:t xml:space="preserve"> </w:t>
    </w:r>
    <w:r w:rsidRPr="002746B5">
      <w:rPr>
        <w:rFonts w:ascii="Arial" w:hAnsi="Arial"/>
        <w:color w:val="auto"/>
        <w:sz w:val="20"/>
        <w:szCs w:val="20"/>
      </w:rPr>
      <w:t xml:space="preserve">Page </w:t>
    </w:r>
    <w:r w:rsidRPr="002746B5">
      <w:rPr>
        <w:rFonts w:ascii="Arial" w:hAnsi="Arial"/>
        <w:b/>
        <w:color w:val="auto"/>
        <w:sz w:val="20"/>
        <w:szCs w:val="20"/>
      </w:rPr>
      <w:fldChar w:fldCharType="begin"/>
    </w:r>
    <w:r w:rsidRPr="002746B5">
      <w:rPr>
        <w:rFonts w:ascii="Arial" w:hAnsi="Arial"/>
        <w:b/>
        <w:color w:val="auto"/>
        <w:sz w:val="20"/>
        <w:szCs w:val="20"/>
      </w:rPr>
      <w:instrText xml:space="preserve"> PAGE  \* Arabic  \* MERGEFORMAT </w:instrText>
    </w:r>
    <w:r w:rsidRPr="002746B5">
      <w:rPr>
        <w:rFonts w:ascii="Arial" w:hAnsi="Arial"/>
        <w:b/>
        <w:color w:val="auto"/>
        <w:sz w:val="20"/>
        <w:szCs w:val="20"/>
      </w:rPr>
      <w:fldChar w:fldCharType="separate"/>
    </w:r>
    <w:r w:rsidR="00E72A3F">
      <w:rPr>
        <w:rFonts w:ascii="Arial" w:hAnsi="Arial"/>
        <w:b/>
        <w:noProof/>
        <w:color w:val="auto"/>
        <w:sz w:val="20"/>
        <w:szCs w:val="20"/>
      </w:rPr>
      <w:t>5</w:t>
    </w:r>
    <w:r w:rsidRPr="002746B5">
      <w:rPr>
        <w:rFonts w:ascii="Arial" w:hAnsi="Arial"/>
        <w:b/>
        <w:color w:val="auto"/>
        <w:sz w:val="20"/>
        <w:szCs w:val="20"/>
      </w:rPr>
      <w:fldChar w:fldCharType="end"/>
    </w:r>
    <w:r w:rsidRPr="002746B5">
      <w:rPr>
        <w:rFonts w:ascii="Arial" w:hAnsi="Arial"/>
        <w:color w:val="auto"/>
        <w:sz w:val="20"/>
        <w:szCs w:val="20"/>
      </w:rPr>
      <w:t xml:space="preserve"> of </w:t>
    </w:r>
    <w:r w:rsidR="00482262">
      <w:rPr>
        <w:rFonts w:ascii="Arial" w:hAnsi="Arial"/>
        <w:b/>
        <w:color w:val="auto"/>
        <w:sz w:val="20"/>
        <w:szCs w:val="20"/>
      </w:rPr>
      <w:t>6</w:t>
    </w:r>
  </w:p>
  <w:p w:rsidR="002746B5" w:rsidRPr="002746B5" w:rsidRDefault="00246062">
    <w:pPr>
      <w:pStyle w:val="Footer"/>
      <w:rPr>
        <w:rFonts w:ascii="Arial" w:hAnsi="Arial"/>
        <w:color w:val="auto"/>
        <w:sz w:val="20"/>
        <w:szCs w:val="20"/>
      </w:rPr>
    </w:pPr>
    <w:r>
      <w:rPr>
        <w:rFonts w:ascii="Arial" w:hAnsi="Arial"/>
        <w:color w:val="auto"/>
        <w:sz w:val="20"/>
        <w:szCs w:val="20"/>
      </w:rPr>
      <w:t>Castlevale Winery P09-00529</w:t>
    </w:r>
    <w:r w:rsidR="00576DA6">
      <w:rPr>
        <w:rFonts w:ascii="Arial" w:hAnsi="Arial"/>
        <w:color w:val="auto"/>
        <w:sz w:val="20"/>
        <w:szCs w:val="20"/>
      </w:rPr>
      <w:t>-UP</w:t>
    </w:r>
  </w:p>
  <w:p w:rsidR="002746B5" w:rsidRDefault="00274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A7C" w:rsidRPr="00E85C0D" w:rsidRDefault="00525F31" w:rsidP="007F7A7C">
    <w:pPr>
      <w:pStyle w:val="Footer"/>
      <w:jc w:val="center"/>
      <w:rPr>
        <w:rFonts w:ascii="Arial" w:hAnsi="Arial"/>
        <w:sz w:val="28"/>
      </w:rPr>
    </w:pPr>
    <w:r>
      <w:rPr>
        <w:rFonts w:ascii="Arial" w:hAnsi="Arial"/>
        <w:sz w:val="28"/>
      </w:rPr>
      <w:t>Castlevale Winery P09-00529</w:t>
    </w:r>
  </w:p>
  <w:p w:rsidR="007F7A7C" w:rsidRPr="00E85C0D" w:rsidRDefault="007F7A7C" w:rsidP="007F7A7C">
    <w:pPr>
      <w:tabs>
        <w:tab w:val="center" w:pos="4680"/>
        <w:tab w:val="right" w:pos="9360"/>
      </w:tabs>
      <w:jc w:val="center"/>
      <w:rPr>
        <w:rFonts w:ascii="Arial" w:hAnsi="Arial"/>
        <w:sz w:val="28"/>
      </w:rPr>
    </w:pPr>
    <w:r w:rsidRPr="00E85C0D">
      <w:rPr>
        <w:rFonts w:ascii="Arial" w:hAnsi="Arial"/>
        <w:sz w:val="28"/>
      </w:rPr>
      <w:t xml:space="preserve">Planning Commission Hearing Date </w:t>
    </w:r>
    <w:r w:rsidR="00525F31">
      <w:rPr>
        <w:rFonts w:ascii="Arial" w:hAnsi="Arial"/>
        <w:sz w:val="28"/>
      </w:rPr>
      <w:t>August</w:t>
    </w:r>
    <w:r w:rsidR="00576DA6">
      <w:rPr>
        <w:rFonts w:ascii="Arial" w:hAnsi="Arial"/>
        <w:sz w:val="28"/>
      </w:rPr>
      <w:t xml:space="preserve"> </w:t>
    </w:r>
    <w:r w:rsidR="00525F31">
      <w:rPr>
        <w:rFonts w:ascii="Arial" w:hAnsi="Arial"/>
        <w:sz w:val="28"/>
      </w:rPr>
      <w:t>1</w:t>
    </w:r>
    <w:r w:rsidR="00576DA6">
      <w:rPr>
        <w:rFonts w:ascii="Arial" w:hAnsi="Arial"/>
        <w:sz w:val="28"/>
      </w:rPr>
      <w:t>, 2018</w:t>
    </w:r>
  </w:p>
  <w:p w:rsidR="007F7A7C" w:rsidRDefault="007F7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C0D" w:rsidRDefault="00E85C0D" w:rsidP="00E85C0D">
      <w:r>
        <w:separator/>
      </w:r>
    </w:p>
  </w:footnote>
  <w:footnote w:type="continuationSeparator" w:id="0">
    <w:p w:rsidR="00E85C0D" w:rsidRDefault="00E85C0D" w:rsidP="00E85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E2201"/>
    <w:multiLevelType w:val="hybridMultilevel"/>
    <w:tmpl w:val="7A54878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46B41DEC"/>
    <w:multiLevelType w:val="hybridMultilevel"/>
    <w:tmpl w:val="A9162502"/>
    <w:lvl w:ilvl="0" w:tplc="6F9E6A6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E6288D"/>
    <w:multiLevelType w:val="hybridMultilevel"/>
    <w:tmpl w:val="DA5A44C6"/>
    <w:lvl w:ilvl="0" w:tplc="F75C4C7E">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309012F"/>
    <w:multiLevelType w:val="hybridMultilevel"/>
    <w:tmpl w:val="A44A5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787DC3"/>
    <w:multiLevelType w:val="hybridMultilevel"/>
    <w:tmpl w:val="ABC41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C0D"/>
    <w:rsid w:val="00012BC8"/>
    <w:rsid w:val="00105EBE"/>
    <w:rsid w:val="001208DA"/>
    <w:rsid w:val="00155C62"/>
    <w:rsid w:val="00246062"/>
    <w:rsid w:val="002746B5"/>
    <w:rsid w:val="00333E56"/>
    <w:rsid w:val="00352F19"/>
    <w:rsid w:val="00360825"/>
    <w:rsid w:val="00422260"/>
    <w:rsid w:val="00482262"/>
    <w:rsid w:val="004E07C8"/>
    <w:rsid w:val="00525F31"/>
    <w:rsid w:val="00546D19"/>
    <w:rsid w:val="00576DA6"/>
    <w:rsid w:val="00622899"/>
    <w:rsid w:val="006A3880"/>
    <w:rsid w:val="006F2474"/>
    <w:rsid w:val="007F6372"/>
    <w:rsid w:val="007F7A7C"/>
    <w:rsid w:val="0081438E"/>
    <w:rsid w:val="00871D2A"/>
    <w:rsid w:val="008D0330"/>
    <w:rsid w:val="008E73D9"/>
    <w:rsid w:val="009750CC"/>
    <w:rsid w:val="00997108"/>
    <w:rsid w:val="009B756B"/>
    <w:rsid w:val="00A101AA"/>
    <w:rsid w:val="00B0067E"/>
    <w:rsid w:val="00B378C6"/>
    <w:rsid w:val="00B4483D"/>
    <w:rsid w:val="00BA5C28"/>
    <w:rsid w:val="00C349E4"/>
    <w:rsid w:val="00DC2BEA"/>
    <w:rsid w:val="00E43327"/>
    <w:rsid w:val="00E72A3F"/>
    <w:rsid w:val="00E85C0D"/>
    <w:rsid w:val="00EA0075"/>
    <w:rsid w:val="00EA01FA"/>
    <w:rsid w:val="00EB6BED"/>
    <w:rsid w:val="00F065CE"/>
    <w:rsid w:val="00F91120"/>
    <w:rsid w:val="00F971DF"/>
    <w:rsid w:val="00FB1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64460C9"/>
  <w15:docId w15:val="{0E081591-C660-4AEB-B006-39F13035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C0D"/>
    <w:pPr>
      <w:spacing w:after="0" w:line="240" w:lineRule="auto"/>
    </w:pPr>
    <w:rPr>
      <w:rFonts w:ascii="Papyrus" w:eastAsia="Times New Roman" w:hAnsi="Papyrus" w:cs="Arial"/>
      <w:color w:val="000080"/>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C0D"/>
    <w:pPr>
      <w:tabs>
        <w:tab w:val="center" w:pos="4680"/>
        <w:tab w:val="right" w:pos="9360"/>
      </w:tabs>
    </w:pPr>
  </w:style>
  <w:style w:type="character" w:customStyle="1" w:styleId="HeaderChar">
    <w:name w:val="Header Char"/>
    <w:basedOn w:val="DefaultParagraphFont"/>
    <w:link w:val="Header"/>
    <w:uiPriority w:val="99"/>
    <w:rsid w:val="00E85C0D"/>
    <w:rPr>
      <w:rFonts w:ascii="Papyrus" w:eastAsia="Times New Roman" w:hAnsi="Papyrus" w:cs="Arial"/>
      <w:color w:val="000080"/>
      <w:spacing w:val="-3"/>
      <w:sz w:val="24"/>
      <w:szCs w:val="24"/>
    </w:rPr>
  </w:style>
  <w:style w:type="paragraph" w:styleId="Footer">
    <w:name w:val="footer"/>
    <w:basedOn w:val="Normal"/>
    <w:link w:val="FooterChar"/>
    <w:uiPriority w:val="99"/>
    <w:unhideWhenUsed/>
    <w:rsid w:val="00E85C0D"/>
    <w:pPr>
      <w:tabs>
        <w:tab w:val="center" w:pos="4680"/>
        <w:tab w:val="right" w:pos="9360"/>
      </w:tabs>
    </w:pPr>
  </w:style>
  <w:style w:type="character" w:customStyle="1" w:styleId="FooterChar">
    <w:name w:val="Footer Char"/>
    <w:basedOn w:val="DefaultParagraphFont"/>
    <w:link w:val="Footer"/>
    <w:uiPriority w:val="99"/>
    <w:rsid w:val="00E85C0D"/>
    <w:rPr>
      <w:rFonts w:ascii="Papyrus" w:eastAsia="Times New Roman" w:hAnsi="Papyrus" w:cs="Arial"/>
      <w:color w:val="000080"/>
      <w:spacing w:val="-3"/>
      <w:sz w:val="24"/>
      <w:szCs w:val="24"/>
    </w:rPr>
  </w:style>
  <w:style w:type="paragraph" w:styleId="BalloonText">
    <w:name w:val="Balloon Text"/>
    <w:basedOn w:val="Normal"/>
    <w:link w:val="BalloonTextChar"/>
    <w:uiPriority w:val="99"/>
    <w:semiHidden/>
    <w:unhideWhenUsed/>
    <w:rsid w:val="00E85C0D"/>
    <w:rPr>
      <w:rFonts w:ascii="Tahoma" w:hAnsi="Tahoma" w:cs="Tahoma"/>
      <w:sz w:val="16"/>
      <w:szCs w:val="16"/>
    </w:rPr>
  </w:style>
  <w:style w:type="character" w:customStyle="1" w:styleId="BalloonTextChar">
    <w:name w:val="Balloon Text Char"/>
    <w:basedOn w:val="DefaultParagraphFont"/>
    <w:link w:val="BalloonText"/>
    <w:uiPriority w:val="99"/>
    <w:semiHidden/>
    <w:rsid w:val="00E85C0D"/>
    <w:rPr>
      <w:rFonts w:ascii="Tahoma" w:eastAsia="Times New Roman" w:hAnsi="Tahoma" w:cs="Tahoma"/>
      <w:color w:val="000080"/>
      <w:spacing w:val="-3"/>
      <w:sz w:val="16"/>
      <w:szCs w:val="16"/>
    </w:rPr>
  </w:style>
  <w:style w:type="paragraph" w:styleId="ListParagraph">
    <w:name w:val="List Paragraph"/>
    <w:basedOn w:val="Normal"/>
    <w:uiPriority w:val="34"/>
    <w:qFormat/>
    <w:rsid w:val="004E07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9ADB2-D1A4-46A0-8C1A-25485A54E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7</Pages>
  <Words>2084</Words>
  <Characters>11881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County of Napa</Company>
  <LinksUpToDate>false</LinksUpToDate>
  <CharactersWithSpaces>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Hannaford, Graham</dc:creator>
  <cp:lastModifiedBy>Hannaford, Graham</cp:lastModifiedBy>
  <cp:revision>6</cp:revision>
  <cp:lastPrinted>2017-09-13T15:27:00Z</cp:lastPrinted>
  <dcterms:created xsi:type="dcterms:W3CDTF">2018-07-02T16:33:00Z</dcterms:created>
  <dcterms:modified xsi:type="dcterms:W3CDTF">2018-07-23T18:33:00Z</dcterms:modified>
</cp:coreProperties>
</file>